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0E88" w14:textId="410EBD9C" w:rsidR="009840C5" w:rsidRDefault="009840C5">
      <w:pPr>
        <w:rPr>
          <w:lang w:val="en-US"/>
        </w:rPr>
      </w:pPr>
    </w:p>
    <w:p w14:paraId="6D8CDD24" w14:textId="500C9541" w:rsidR="00FB7807" w:rsidRDefault="00FB7807">
      <w:pPr>
        <w:rPr>
          <w:lang w:val="en-US"/>
        </w:rPr>
      </w:pPr>
    </w:p>
    <w:p w14:paraId="0DC6BD1A" w14:textId="1C5143CC" w:rsidR="00FB7807" w:rsidRDefault="00FB7807">
      <w:pPr>
        <w:rPr>
          <w:lang w:val="en-US"/>
        </w:rPr>
      </w:pPr>
    </w:p>
    <w:p w14:paraId="74A2A92C" w14:textId="1F40E271" w:rsidR="00FB7807" w:rsidRDefault="00FB7807">
      <w:pPr>
        <w:rPr>
          <w:lang w:val="en-US"/>
        </w:rPr>
      </w:pPr>
    </w:p>
    <w:p w14:paraId="173BBA6E" w14:textId="25017B6C" w:rsidR="00FB7807" w:rsidRDefault="00FB7807">
      <w:pPr>
        <w:rPr>
          <w:lang w:val="en-US"/>
        </w:rPr>
      </w:pPr>
    </w:p>
    <w:p w14:paraId="44E8984E" w14:textId="2A27B969" w:rsidR="00FB7807" w:rsidRDefault="00FB7807">
      <w:pPr>
        <w:rPr>
          <w:lang w:val="en-US"/>
        </w:rPr>
      </w:pPr>
    </w:p>
    <w:p w14:paraId="5100B926" w14:textId="23CBD600" w:rsidR="00FB7807" w:rsidRDefault="00FB7807">
      <w:pPr>
        <w:rPr>
          <w:lang w:val="en-US"/>
        </w:rPr>
      </w:pPr>
    </w:p>
    <w:p w14:paraId="5DDD86C1" w14:textId="16878244" w:rsidR="00FB7807" w:rsidRDefault="00FB7807">
      <w:pPr>
        <w:rPr>
          <w:lang w:val="en-US"/>
        </w:rPr>
      </w:pPr>
    </w:p>
    <w:p w14:paraId="679D309C" w14:textId="145EBC92" w:rsidR="00FB7807" w:rsidRDefault="00FB7807">
      <w:pPr>
        <w:rPr>
          <w:lang w:val="en-US"/>
        </w:rPr>
      </w:pPr>
    </w:p>
    <w:p w14:paraId="1174F619" w14:textId="4F11D461" w:rsidR="00FB7807" w:rsidRDefault="00FB7807">
      <w:pPr>
        <w:rPr>
          <w:lang w:val="en-US"/>
        </w:rPr>
      </w:pPr>
    </w:p>
    <w:p w14:paraId="7A0D6906" w14:textId="6F82F893" w:rsidR="00FB7807" w:rsidRDefault="00FB7807">
      <w:pPr>
        <w:rPr>
          <w:lang w:val="en-US"/>
        </w:rPr>
      </w:pPr>
    </w:p>
    <w:p w14:paraId="0E8700BD" w14:textId="77777777" w:rsidR="00FB7807" w:rsidRDefault="00FB7807">
      <w:pPr>
        <w:rPr>
          <w:lang w:val="en-US"/>
        </w:rPr>
      </w:pPr>
    </w:p>
    <w:p w14:paraId="69F0A8EE" w14:textId="508D9C8F" w:rsidR="00FB7807" w:rsidRDefault="00FB7807">
      <w:pPr>
        <w:rPr>
          <w:lang w:val="en-US"/>
        </w:rPr>
      </w:pPr>
    </w:p>
    <w:p w14:paraId="63BBFB94" w14:textId="7EA1ECAC" w:rsidR="00FB7807" w:rsidRPr="00FB7807" w:rsidRDefault="00FB7807" w:rsidP="00FB7807">
      <w:pPr>
        <w:jc w:val="center"/>
        <w:rPr>
          <w:b/>
          <w:bCs/>
          <w:sz w:val="28"/>
          <w:szCs w:val="28"/>
          <w:lang w:val="en-US"/>
        </w:rPr>
      </w:pPr>
      <w:r w:rsidRPr="00FB7807">
        <w:rPr>
          <w:b/>
          <w:bCs/>
          <w:sz w:val="28"/>
          <w:szCs w:val="28"/>
          <w:lang w:val="en-US"/>
        </w:rPr>
        <w:t>NAC Recommendations for the Use of Solvent-Detergent Plasma in Canada</w:t>
      </w:r>
    </w:p>
    <w:p w14:paraId="09B41D1C" w14:textId="5DCD63A2" w:rsidR="00FB7807" w:rsidRDefault="00FB7807">
      <w:pPr>
        <w:rPr>
          <w:lang w:val="en-US"/>
        </w:rPr>
      </w:pPr>
    </w:p>
    <w:p w14:paraId="2B741AFD" w14:textId="203C2D49" w:rsidR="00FB7807" w:rsidRDefault="00FB7807">
      <w:pPr>
        <w:rPr>
          <w:lang w:val="en-US"/>
        </w:rPr>
      </w:pPr>
    </w:p>
    <w:p w14:paraId="3FA20709" w14:textId="45F4C2FB" w:rsidR="00FB7807" w:rsidRDefault="00FB7807">
      <w:pPr>
        <w:rPr>
          <w:lang w:val="en-US"/>
        </w:rPr>
      </w:pPr>
    </w:p>
    <w:p w14:paraId="59E8E170" w14:textId="561D5FC0" w:rsidR="00FB7807" w:rsidRDefault="00FB7807">
      <w:pPr>
        <w:rPr>
          <w:lang w:val="en-US"/>
        </w:rPr>
      </w:pPr>
    </w:p>
    <w:p w14:paraId="3FEF2F54" w14:textId="55F7768A" w:rsidR="00FB7807" w:rsidRDefault="00FB7807">
      <w:pPr>
        <w:rPr>
          <w:lang w:val="en-US"/>
        </w:rPr>
      </w:pPr>
    </w:p>
    <w:p w14:paraId="118B81D9" w14:textId="30012305" w:rsidR="00FB7807" w:rsidRDefault="00FB7807">
      <w:pPr>
        <w:rPr>
          <w:lang w:val="en-US"/>
        </w:rPr>
      </w:pPr>
    </w:p>
    <w:p w14:paraId="36A951B5" w14:textId="18B04CE5" w:rsidR="00FB7807" w:rsidRDefault="00FB7807">
      <w:pPr>
        <w:rPr>
          <w:lang w:val="en-US"/>
        </w:rPr>
      </w:pPr>
    </w:p>
    <w:p w14:paraId="3E82B340" w14:textId="372371B9" w:rsidR="00FB7807" w:rsidRDefault="00FB7807">
      <w:pPr>
        <w:rPr>
          <w:lang w:val="en-US"/>
        </w:rPr>
      </w:pPr>
    </w:p>
    <w:p w14:paraId="65CE8705" w14:textId="3F1EA93A" w:rsidR="00FB7807" w:rsidRDefault="00FB7807">
      <w:pPr>
        <w:rPr>
          <w:lang w:val="en-US"/>
        </w:rPr>
      </w:pPr>
    </w:p>
    <w:p w14:paraId="164EEAD1" w14:textId="6C93181C" w:rsidR="00FB7807" w:rsidRDefault="00FB7807">
      <w:pPr>
        <w:rPr>
          <w:lang w:val="en-US"/>
        </w:rPr>
      </w:pPr>
    </w:p>
    <w:p w14:paraId="6210CF40" w14:textId="39EBA570" w:rsidR="00FB7807" w:rsidRDefault="00FB7807">
      <w:pPr>
        <w:rPr>
          <w:lang w:val="en-US"/>
        </w:rPr>
      </w:pPr>
    </w:p>
    <w:p w14:paraId="203695B4" w14:textId="6919CFF6" w:rsidR="00FB7807" w:rsidRDefault="00FB7807">
      <w:pPr>
        <w:rPr>
          <w:lang w:val="en-US"/>
        </w:rPr>
      </w:pPr>
    </w:p>
    <w:p w14:paraId="1E4C0BB4" w14:textId="6669AB1D" w:rsidR="00FB7807" w:rsidRDefault="00FB7807">
      <w:pPr>
        <w:rPr>
          <w:lang w:val="en-US"/>
        </w:rPr>
      </w:pPr>
    </w:p>
    <w:p w14:paraId="7ED6769C" w14:textId="04914147" w:rsidR="00FB7807" w:rsidRDefault="00FB7807">
      <w:pPr>
        <w:rPr>
          <w:lang w:val="en-US"/>
        </w:rPr>
      </w:pPr>
    </w:p>
    <w:p w14:paraId="5381E4FC" w14:textId="393A671F" w:rsidR="00FB7807" w:rsidRDefault="00FB7807">
      <w:pPr>
        <w:rPr>
          <w:lang w:val="en-US"/>
        </w:rPr>
      </w:pPr>
    </w:p>
    <w:p w14:paraId="7BB3ED28" w14:textId="77777777" w:rsidR="00FB7807" w:rsidRPr="00FB7807" w:rsidRDefault="00FB7807" w:rsidP="00FB7807">
      <w:pPr>
        <w:jc w:val="center"/>
        <w:rPr>
          <w:b/>
          <w:bCs/>
          <w:color w:val="FF0000"/>
          <w:sz w:val="28"/>
          <w:szCs w:val="28"/>
          <w:lang w:val="en-US"/>
        </w:rPr>
      </w:pPr>
      <w:r w:rsidRPr="00FB7807">
        <w:rPr>
          <w:b/>
          <w:bCs/>
          <w:color w:val="FF0000"/>
          <w:sz w:val="28"/>
          <w:szCs w:val="28"/>
          <w:lang w:val="en-US"/>
        </w:rPr>
        <w:lastRenderedPageBreak/>
        <w:t>NAC Recommendations for the Use of Solvent-Detergent Plasma in Canada</w:t>
      </w:r>
    </w:p>
    <w:p w14:paraId="420CBD5D" w14:textId="6B2298AA" w:rsidR="00FB7807" w:rsidRDefault="00FB7807">
      <w:pPr>
        <w:rPr>
          <w:lang w:val="en-US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364"/>
      </w:tblGrid>
      <w:tr w:rsidR="00FB7807" w:rsidRPr="00733BB1" w14:paraId="4F9F280F" w14:textId="77777777" w:rsidTr="006369DF">
        <w:tc>
          <w:tcPr>
            <w:tcW w:w="4566" w:type="dxa"/>
          </w:tcPr>
          <w:p w14:paraId="4CA187AF" w14:textId="77777777" w:rsidR="00FB7807" w:rsidRPr="00733BB1" w:rsidRDefault="00FB7807" w:rsidP="006369DF">
            <w:pPr>
              <w:pStyle w:val="Normal1"/>
              <w:rPr>
                <w:rFonts w:asciiTheme="majorHAnsi" w:hAnsiTheme="majorHAnsi" w:cstheme="majorHAnsi"/>
              </w:rPr>
            </w:pPr>
            <w:r w:rsidRPr="00733BB1">
              <w:rPr>
                <w:rFonts w:asciiTheme="majorHAnsi" w:hAnsiTheme="majorHAnsi" w:cstheme="majorHAnsi"/>
              </w:rPr>
              <w:t xml:space="preserve">NAC Chair: </w:t>
            </w:r>
          </w:p>
        </w:tc>
        <w:tc>
          <w:tcPr>
            <w:tcW w:w="4364" w:type="dxa"/>
          </w:tcPr>
          <w:p w14:paraId="6BDF14E5" w14:textId="77777777" w:rsidR="00FB7807" w:rsidRPr="00733BB1" w:rsidRDefault="00FB7807" w:rsidP="006369DF">
            <w:pPr>
              <w:pStyle w:val="Normal1"/>
              <w:rPr>
                <w:rFonts w:asciiTheme="majorHAnsi" w:hAnsiTheme="majorHAnsi" w:cstheme="majorHAnsi"/>
                <w:lang w:eastAsia="zh-CN"/>
              </w:rPr>
            </w:pPr>
            <w:r w:rsidRPr="00733BB1">
              <w:rPr>
                <w:rFonts w:asciiTheme="majorHAnsi" w:hAnsiTheme="majorHAnsi" w:cstheme="majorHAnsi"/>
              </w:rPr>
              <w:t xml:space="preserve">Alan Tinmouth, </w:t>
            </w:r>
            <w:r w:rsidRPr="00733BB1">
              <w:rPr>
                <w:rFonts w:asciiTheme="majorHAnsi" w:hAnsiTheme="majorHAnsi" w:cstheme="majorHAnsi"/>
                <w:lang w:eastAsia="zh-CN"/>
              </w:rPr>
              <w:t xml:space="preserve">MD, FRCPC, MSc  </w:t>
            </w:r>
          </w:p>
          <w:p w14:paraId="68318A9A" w14:textId="77777777" w:rsidR="00FB7807" w:rsidRPr="00733BB1" w:rsidRDefault="00FB7807" w:rsidP="006369DF">
            <w:pPr>
              <w:pStyle w:val="Normal1"/>
              <w:rPr>
                <w:rFonts w:asciiTheme="majorHAnsi" w:hAnsiTheme="majorHAnsi" w:cstheme="majorHAnsi"/>
              </w:rPr>
            </w:pPr>
          </w:p>
        </w:tc>
      </w:tr>
      <w:tr w:rsidR="00FB7807" w:rsidRPr="00733BB1" w14:paraId="2C313545" w14:textId="77777777" w:rsidTr="006369DF">
        <w:tc>
          <w:tcPr>
            <w:tcW w:w="4566" w:type="dxa"/>
          </w:tcPr>
          <w:p w14:paraId="27D0B9CB" w14:textId="77777777" w:rsidR="00FB7807" w:rsidRPr="00733BB1" w:rsidRDefault="00FB7807" w:rsidP="006369DF">
            <w:pPr>
              <w:pStyle w:val="Normal1"/>
              <w:rPr>
                <w:rFonts w:asciiTheme="majorHAnsi" w:hAnsiTheme="majorHAnsi" w:cstheme="majorHAnsi"/>
              </w:rPr>
            </w:pPr>
            <w:r w:rsidRPr="00733BB1">
              <w:rPr>
                <w:rFonts w:asciiTheme="majorHAnsi" w:hAnsiTheme="majorHAnsi" w:cstheme="majorHAnsi"/>
              </w:rPr>
              <w:t>Subcommittee Members:</w:t>
            </w:r>
          </w:p>
        </w:tc>
        <w:tc>
          <w:tcPr>
            <w:tcW w:w="4364" w:type="dxa"/>
          </w:tcPr>
          <w:p w14:paraId="3846A9C1" w14:textId="68CA0FA8" w:rsidR="00FB7807" w:rsidRDefault="00FB7807" w:rsidP="006369DF">
            <w:pPr>
              <w:pStyle w:val="Normal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Douglass Morrison, MD </w:t>
            </w:r>
          </w:p>
          <w:p w14:paraId="2AC78722" w14:textId="7222234A" w:rsidR="00FB7807" w:rsidRDefault="00FB7807" w:rsidP="006369DF">
            <w:pPr>
              <w:pStyle w:val="Normal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Jason Quinn, MD </w:t>
            </w:r>
          </w:p>
          <w:p w14:paraId="39BAA45A" w14:textId="22FBFDDC" w:rsidR="00FB7807" w:rsidRDefault="00FB7807" w:rsidP="006369DF">
            <w:pPr>
              <w:pStyle w:val="Normal1"/>
              <w:rPr>
                <w:rFonts w:asciiTheme="majorHAnsi" w:hAnsiTheme="majorHAnsi" w:cstheme="majorHAnsi"/>
              </w:rPr>
            </w:pPr>
            <w:r w:rsidRPr="00733BB1">
              <w:rPr>
                <w:rFonts w:asciiTheme="majorHAnsi" w:hAnsiTheme="majorHAnsi" w:cstheme="majorHAnsi"/>
              </w:rPr>
              <w:t>Katerina Pavenski, MD</w:t>
            </w:r>
          </w:p>
          <w:p w14:paraId="5FD92054" w14:textId="7EDCAF99" w:rsidR="00FB7807" w:rsidRPr="00FB7807" w:rsidRDefault="00FB7807" w:rsidP="006369DF">
            <w:pPr>
              <w:pStyle w:val="Normal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Kathryn Webert, MD</w:t>
            </w:r>
            <w:r w:rsidRPr="00733BB1">
              <w:rPr>
                <w:rFonts w:asciiTheme="majorHAnsi" w:hAnsiTheme="majorHAnsi" w:cstheme="majorHAnsi"/>
                <w:i/>
                <w:iCs/>
              </w:rPr>
              <w:t xml:space="preserve"> </w:t>
            </w:r>
          </w:p>
          <w:p w14:paraId="27BA2BDB" w14:textId="77777777" w:rsidR="00FB7807" w:rsidRPr="00733BB1" w:rsidRDefault="00FB7807" w:rsidP="006369DF">
            <w:pPr>
              <w:pStyle w:val="Normal1"/>
              <w:rPr>
                <w:rFonts w:asciiTheme="majorHAnsi" w:hAnsiTheme="majorHAnsi" w:cstheme="majorHAnsi"/>
              </w:rPr>
            </w:pPr>
          </w:p>
        </w:tc>
      </w:tr>
      <w:tr w:rsidR="00FB7807" w:rsidRPr="00733BB1" w14:paraId="4C16B7DC" w14:textId="77777777" w:rsidTr="006369DF">
        <w:tc>
          <w:tcPr>
            <w:tcW w:w="4566" w:type="dxa"/>
          </w:tcPr>
          <w:p w14:paraId="76D56132" w14:textId="77777777" w:rsidR="00FB7807" w:rsidRPr="00733BB1" w:rsidRDefault="00FB7807" w:rsidP="006369DF">
            <w:pPr>
              <w:pStyle w:val="Normal1"/>
              <w:rPr>
                <w:rFonts w:asciiTheme="majorHAnsi" w:hAnsiTheme="majorHAnsi" w:cstheme="majorHAnsi"/>
              </w:rPr>
            </w:pPr>
            <w:r w:rsidRPr="00733BB1">
              <w:rPr>
                <w:rFonts w:asciiTheme="majorHAnsi" w:hAnsiTheme="majorHAnsi" w:cstheme="majorHAnsi"/>
              </w:rPr>
              <w:t xml:space="preserve">Provincial Ministry Representative: </w:t>
            </w:r>
          </w:p>
        </w:tc>
        <w:tc>
          <w:tcPr>
            <w:tcW w:w="4364" w:type="dxa"/>
          </w:tcPr>
          <w:p w14:paraId="72FE9FCA" w14:textId="77777777" w:rsidR="00FB7807" w:rsidRPr="00733BB1" w:rsidRDefault="00FB7807" w:rsidP="006369DF">
            <w:pPr>
              <w:pStyle w:val="Normal1"/>
              <w:rPr>
                <w:rFonts w:asciiTheme="majorHAnsi" w:hAnsiTheme="majorHAnsi" w:cstheme="majorHAnsi"/>
              </w:rPr>
            </w:pPr>
            <w:r w:rsidRPr="00733BB1">
              <w:rPr>
                <w:rFonts w:asciiTheme="majorHAnsi" w:hAnsiTheme="majorHAnsi" w:cstheme="majorHAnsi"/>
              </w:rPr>
              <w:t>Thomas Smith (ON)</w:t>
            </w:r>
          </w:p>
          <w:p w14:paraId="2D45067D" w14:textId="77777777" w:rsidR="00FB7807" w:rsidRPr="00733BB1" w:rsidRDefault="00FB7807" w:rsidP="006369DF">
            <w:pPr>
              <w:pStyle w:val="Normal1"/>
              <w:rPr>
                <w:rFonts w:asciiTheme="majorHAnsi" w:hAnsiTheme="majorHAnsi" w:cstheme="majorHAnsi"/>
              </w:rPr>
            </w:pPr>
          </w:p>
        </w:tc>
      </w:tr>
      <w:tr w:rsidR="00FB7807" w:rsidRPr="00733BB1" w14:paraId="7FF895DB" w14:textId="77777777" w:rsidTr="006369DF">
        <w:tc>
          <w:tcPr>
            <w:tcW w:w="4566" w:type="dxa"/>
          </w:tcPr>
          <w:p w14:paraId="1E985395" w14:textId="77777777" w:rsidR="00FB7807" w:rsidRPr="00733BB1" w:rsidRDefault="00FB7807" w:rsidP="006369DF">
            <w:pPr>
              <w:pStyle w:val="Normal1"/>
              <w:rPr>
                <w:rFonts w:asciiTheme="majorHAnsi" w:hAnsiTheme="majorHAnsi" w:cstheme="majorHAnsi"/>
              </w:rPr>
            </w:pPr>
            <w:r w:rsidRPr="00733BB1">
              <w:rPr>
                <w:rFonts w:asciiTheme="majorHAnsi" w:hAnsiTheme="majorHAnsi" w:cstheme="majorHAnsi"/>
              </w:rPr>
              <w:t xml:space="preserve">NAC Coordinator: </w:t>
            </w:r>
          </w:p>
        </w:tc>
        <w:tc>
          <w:tcPr>
            <w:tcW w:w="4364" w:type="dxa"/>
          </w:tcPr>
          <w:p w14:paraId="54CB3ABE" w14:textId="73498C78" w:rsidR="00FB7807" w:rsidRDefault="00FB7807" w:rsidP="006369DF">
            <w:pPr>
              <w:pStyle w:val="Normal1"/>
              <w:rPr>
                <w:rFonts w:asciiTheme="majorHAnsi" w:hAnsiTheme="majorHAnsi" w:cstheme="majorHAnsi"/>
              </w:rPr>
            </w:pPr>
            <w:r w:rsidRPr="00733BB1">
              <w:rPr>
                <w:rFonts w:asciiTheme="majorHAnsi" w:hAnsiTheme="majorHAnsi" w:cstheme="majorHAnsi"/>
              </w:rPr>
              <w:t>Harleen Kahlon</w:t>
            </w:r>
          </w:p>
          <w:p w14:paraId="679EDC97" w14:textId="76795320" w:rsidR="00FB7807" w:rsidRPr="00733BB1" w:rsidRDefault="00FB7807" w:rsidP="006369DF">
            <w:pPr>
              <w:pStyle w:val="Normal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Sebastian Ye</w:t>
            </w:r>
          </w:p>
          <w:p w14:paraId="13996D08" w14:textId="77777777" w:rsidR="00FB7807" w:rsidRPr="00733BB1" w:rsidRDefault="00FB7807" w:rsidP="006369DF">
            <w:pPr>
              <w:pStyle w:val="Normal1"/>
              <w:rPr>
                <w:rFonts w:asciiTheme="majorHAnsi" w:hAnsiTheme="majorHAnsi" w:cstheme="majorHAnsi"/>
              </w:rPr>
            </w:pPr>
          </w:p>
        </w:tc>
      </w:tr>
      <w:tr w:rsidR="00FB7807" w:rsidRPr="00733BB1" w14:paraId="03C0D223" w14:textId="77777777" w:rsidTr="006369DF">
        <w:tc>
          <w:tcPr>
            <w:tcW w:w="4566" w:type="dxa"/>
          </w:tcPr>
          <w:p w14:paraId="7E99FD79" w14:textId="77777777" w:rsidR="00FB7807" w:rsidRPr="00733BB1" w:rsidRDefault="00FB7807" w:rsidP="006369DF">
            <w:pPr>
              <w:pStyle w:val="Normal1"/>
              <w:rPr>
                <w:rFonts w:asciiTheme="majorHAnsi" w:hAnsiTheme="majorHAnsi" w:cstheme="majorHAnsi"/>
              </w:rPr>
            </w:pPr>
            <w:r w:rsidRPr="00733BB1">
              <w:rPr>
                <w:rFonts w:asciiTheme="majorHAnsi" w:hAnsiTheme="majorHAnsi" w:cstheme="majorHAnsi"/>
              </w:rPr>
              <w:t xml:space="preserve">Date of Original Release: </w:t>
            </w:r>
          </w:p>
        </w:tc>
        <w:tc>
          <w:tcPr>
            <w:tcW w:w="4364" w:type="dxa"/>
          </w:tcPr>
          <w:p w14:paraId="1AA49173" w14:textId="2EECF895" w:rsidR="00FB7807" w:rsidRDefault="00865363" w:rsidP="00FB7807">
            <w:pPr>
              <w:pStyle w:val="Normal1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March 10 2023</w:t>
            </w:r>
          </w:p>
          <w:p w14:paraId="6CC60528" w14:textId="2776FBBF" w:rsidR="00FB7807" w:rsidRPr="00733BB1" w:rsidRDefault="00FB7807" w:rsidP="00FB7807">
            <w:pPr>
              <w:pStyle w:val="Normal1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FB7807" w:rsidRPr="00733BB1" w14:paraId="1139C732" w14:textId="77777777" w:rsidTr="006369DF">
        <w:tc>
          <w:tcPr>
            <w:tcW w:w="4566" w:type="dxa"/>
          </w:tcPr>
          <w:p w14:paraId="174A2CE8" w14:textId="77777777" w:rsidR="00FB7807" w:rsidRPr="00733BB1" w:rsidRDefault="00FB7807" w:rsidP="006369DF">
            <w:pPr>
              <w:pStyle w:val="Normal1"/>
              <w:rPr>
                <w:rFonts w:asciiTheme="majorHAnsi" w:hAnsiTheme="majorHAnsi" w:cstheme="majorHAnsi"/>
              </w:rPr>
            </w:pPr>
            <w:r w:rsidRPr="00733BB1">
              <w:rPr>
                <w:rFonts w:asciiTheme="majorHAnsi" w:hAnsiTheme="majorHAnsi" w:cstheme="majorHAnsi"/>
              </w:rPr>
              <w:t>Date of Last Revision</w:t>
            </w:r>
          </w:p>
        </w:tc>
        <w:tc>
          <w:tcPr>
            <w:tcW w:w="4364" w:type="dxa"/>
          </w:tcPr>
          <w:p w14:paraId="13A98FDC" w14:textId="1A7C7ECD" w:rsidR="00FB7807" w:rsidRPr="00733BB1" w:rsidRDefault="00865363" w:rsidP="006369DF">
            <w:pPr>
              <w:pStyle w:val="Normal1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March 10 2023</w:t>
            </w:r>
          </w:p>
          <w:p w14:paraId="6B009AA6" w14:textId="77777777" w:rsidR="00FB7807" w:rsidRPr="00733BB1" w:rsidRDefault="00FB7807" w:rsidP="006369DF">
            <w:pPr>
              <w:pStyle w:val="Normal1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FB7807" w:rsidRPr="00733BB1" w14:paraId="7FE699AB" w14:textId="77777777" w:rsidTr="006369DF">
        <w:tc>
          <w:tcPr>
            <w:tcW w:w="4566" w:type="dxa"/>
          </w:tcPr>
          <w:p w14:paraId="709B8A6D" w14:textId="77777777" w:rsidR="00FB7807" w:rsidRPr="00733BB1" w:rsidRDefault="00FB7807" w:rsidP="006369DF">
            <w:pPr>
              <w:pStyle w:val="Normal1"/>
              <w:rPr>
                <w:rFonts w:asciiTheme="majorHAnsi" w:hAnsiTheme="majorHAnsi" w:cstheme="majorHAnsi"/>
              </w:rPr>
            </w:pPr>
            <w:r w:rsidRPr="00733BB1">
              <w:rPr>
                <w:rFonts w:asciiTheme="majorHAnsi" w:hAnsiTheme="majorHAnsi" w:cstheme="majorHAnsi"/>
              </w:rPr>
              <w:t xml:space="preserve">Publication Date: </w:t>
            </w:r>
          </w:p>
        </w:tc>
        <w:tc>
          <w:tcPr>
            <w:tcW w:w="4364" w:type="dxa"/>
          </w:tcPr>
          <w:p w14:paraId="1A1A5975" w14:textId="6AFA1B82" w:rsidR="00FB7807" w:rsidRPr="00733BB1" w:rsidRDefault="00865363" w:rsidP="006369DF">
            <w:pPr>
              <w:pStyle w:val="Normal1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March 13 2023</w:t>
            </w:r>
          </w:p>
        </w:tc>
      </w:tr>
      <w:tr w:rsidR="00FB7807" w:rsidRPr="00733BB1" w14:paraId="386D3FC4" w14:textId="77777777" w:rsidTr="006369DF">
        <w:tc>
          <w:tcPr>
            <w:tcW w:w="4566" w:type="dxa"/>
          </w:tcPr>
          <w:p w14:paraId="4CA22FDA" w14:textId="77777777" w:rsidR="00FB7807" w:rsidRPr="00733BB1" w:rsidRDefault="00FB7807" w:rsidP="006369DF">
            <w:pPr>
              <w:pStyle w:val="Normal1"/>
              <w:rPr>
                <w:rFonts w:asciiTheme="majorHAnsi" w:hAnsiTheme="majorHAnsi" w:cstheme="majorHAnsi"/>
              </w:rPr>
            </w:pPr>
          </w:p>
        </w:tc>
        <w:tc>
          <w:tcPr>
            <w:tcW w:w="4364" w:type="dxa"/>
          </w:tcPr>
          <w:p w14:paraId="0512AC6B" w14:textId="77777777" w:rsidR="00FB7807" w:rsidRPr="00733BB1" w:rsidRDefault="00FB7807" w:rsidP="006369DF">
            <w:pPr>
              <w:pStyle w:val="Normal1"/>
              <w:rPr>
                <w:rFonts w:asciiTheme="majorHAnsi" w:hAnsiTheme="majorHAnsi" w:cstheme="majorHAnsi"/>
              </w:rPr>
            </w:pPr>
          </w:p>
        </w:tc>
      </w:tr>
      <w:tr w:rsidR="00FB7807" w:rsidRPr="00733BB1" w14:paraId="2832E16A" w14:textId="77777777" w:rsidTr="006369DF">
        <w:tc>
          <w:tcPr>
            <w:tcW w:w="4566" w:type="dxa"/>
          </w:tcPr>
          <w:p w14:paraId="52341333" w14:textId="77777777" w:rsidR="00FB7807" w:rsidRPr="00733BB1" w:rsidRDefault="00FB7807" w:rsidP="006369DF">
            <w:pPr>
              <w:pStyle w:val="Normal1"/>
              <w:rPr>
                <w:rFonts w:asciiTheme="majorHAnsi" w:hAnsiTheme="majorHAnsi" w:cstheme="majorHAnsi"/>
              </w:rPr>
            </w:pPr>
          </w:p>
        </w:tc>
        <w:tc>
          <w:tcPr>
            <w:tcW w:w="4364" w:type="dxa"/>
          </w:tcPr>
          <w:p w14:paraId="32D172EE" w14:textId="77777777" w:rsidR="00FB7807" w:rsidRPr="00733BB1" w:rsidRDefault="00FB7807" w:rsidP="006369DF">
            <w:pPr>
              <w:pStyle w:val="Normal1"/>
              <w:rPr>
                <w:rFonts w:asciiTheme="majorHAnsi" w:hAnsiTheme="majorHAnsi" w:cstheme="majorHAnsi"/>
              </w:rPr>
            </w:pPr>
          </w:p>
        </w:tc>
      </w:tr>
      <w:tr w:rsidR="00FB7807" w:rsidRPr="00733BB1" w14:paraId="23D92319" w14:textId="77777777" w:rsidTr="006369DF">
        <w:tc>
          <w:tcPr>
            <w:tcW w:w="4566" w:type="dxa"/>
          </w:tcPr>
          <w:p w14:paraId="42FE67E4" w14:textId="77777777" w:rsidR="00FB7807" w:rsidRPr="00733BB1" w:rsidRDefault="00FB7807" w:rsidP="006369DF">
            <w:pPr>
              <w:pStyle w:val="Normal1"/>
              <w:rPr>
                <w:rFonts w:asciiTheme="majorHAnsi" w:hAnsiTheme="majorHAnsi" w:cstheme="majorHAnsi"/>
              </w:rPr>
            </w:pPr>
          </w:p>
          <w:p w14:paraId="34E45B23" w14:textId="77777777" w:rsidR="00FB7807" w:rsidRPr="00733BB1" w:rsidRDefault="00FB7807" w:rsidP="006369DF">
            <w:pPr>
              <w:pStyle w:val="Normal1"/>
              <w:rPr>
                <w:rFonts w:asciiTheme="majorHAnsi" w:hAnsiTheme="majorHAnsi" w:cstheme="majorHAnsi"/>
              </w:rPr>
            </w:pPr>
          </w:p>
        </w:tc>
        <w:tc>
          <w:tcPr>
            <w:tcW w:w="4364" w:type="dxa"/>
          </w:tcPr>
          <w:p w14:paraId="3789283B" w14:textId="77777777" w:rsidR="00FB7807" w:rsidRPr="00733BB1" w:rsidRDefault="00FB7807" w:rsidP="006369DF">
            <w:pPr>
              <w:pStyle w:val="Normal1"/>
              <w:rPr>
                <w:rFonts w:asciiTheme="majorHAnsi" w:hAnsiTheme="majorHAnsi" w:cstheme="majorHAnsi"/>
              </w:rPr>
            </w:pPr>
          </w:p>
        </w:tc>
      </w:tr>
    </w:tbl>
    <w:p w14:paraId="2947AE5E" w14:textId="3DF90252" w:rsidR="00FB7807" w:rsidRDefault="00FB7807">
      <w:pPr>
        <w:rPr>
          <w:lang w:val="en-US"/>
        </w:rPr>
      </w:pPr>
    </w:p>
    <w:p w14:paraId="14DAEA25" w14:textId="2D554590" w:rsidR="00FB7807" w:rsidRDefault="00FB7807">
      <w:pPr>
        <w:rPr>
          <w:lang w:val="en-US"/>
        </w:rPr>
      </w:pPr>
    </w:p>
    <w:p w14:paraId="3B5A8106" w14:textId="1A14A99C" w:rsidR="00FB7807" w:rsidRDefault="00FB7807">
      <w:pPr>
        <w:rPr>
          <w:lang w:val="en-US"/>
        </w:rPr>
      </w:pPr>
    </w:p>
    <w:p w14:paraId="25BB84C3" w14:textId="25E1046F" w:rsidR="00FB7807" w:rsidRDefault="00FB7807">
      <w:pPr>
        <w:rPr>
          <w:lang w:val="en-US"/>
        </w:rPr>
      </w:pPr>
    </w:p>
    <w:p w14:paraId="4473D6C3" w14:textId="2B02D8C6" w:rsidR="00FB7807" w:rsidRDefault="00FB7807">
      <w:pPr>
        <w:rPr>
          <w:lang w:val="en-US"/>
        </w:rPr>
      </w:pPr>
    </w:p>
    <w:p w14:paraId="2742E6EB" w14:textId="52404D9B" w:rsidR="00FB7807" w:rsidRDefault="00FB7807">
      <w:pPr>
        <w:rPr>
          <w:lang w:val="en-US"/>
        </w:rPr>
      </w:pPr>
    </w:p>
    <w:p w14:paraId="07EE05F5" w14:textId="516748E4" w:rsidR="00FB7807" w:rsidRDefault="00FB7807">
      <w:pPr>
        <w:rPr>
          <w:lang w:val="en-US"/>
        </w:rPr>
      </w:pPr>
    </w:p>
    <w:p w14:paraId="02643836" w14:textId="59CD19E0" w:rsidR="00FB7807" w:rsidRDefault="00FB7807">
      <w:pPr>
        <w:rPr>
          <w:lang w:val="en-US"/>
        </w:rPr>
      </w:pPr>
    </w:p>
    <w:p w14:paraId="2C66914D" w14:textId="75E1092B" w:rsidR="00FB7807" w:rsidRDefault="00FB7807">
      <w:pPr>
        <w:rPr>
          <w:lang w:val="en-US"/>
        </w:rPr>
      </w:pPr>
    </w:p>
    <w:p w14:paraId="55299A6D" w14:textId="38161F57" w:rsidR="00FB7807" w:rsidRDefault="00FB7807">
      <w:pPr>
        <w:rPr>
          <w:lang w:val="en-US"/>
        </w:rPr>
      </w:pPr>
    </w:p>
    <w:p w14:paraId="43BD1AFB" w14:textId="48C0E8DF" w:rsidR="00FB7807" w:rsidRDefault="00FB7807">
      <w:pPr>
        <w:rPr>
          <w:lang w:val="en-US"/>
        </w:rPr>
      </w:pPr>
    </w:p>
    <w:p w14:paraId="2BB29D1D" w14:textId="7E421CCD" w:rsidR="00FB7807" w:rsidRDefault="00FB7807">
      <w:pPr>
        <w:rPr>
          <w:lang w:val="en-US"/>
        </w:rPr>
      </w:pPr>
    </w:p>
    <w:p w14:paraId="4957D850" w14:textId="4A124802" w:rsidR="00FB7807" w:rsidRDefault="00FB7807">
      <w:pPr>
        <w:rPr>
          <w:lang w:val="en-US"/>
        </w:rPr>
      </w:pPr>
    </w:p>
    <w:p w14:paraId="3A61517D" w14:textId="427FFD4E" w:rsidR="00FB7807" w:rsidRDefault="00FB7807">
      <w:pPr>
        <w:rPr>
          <w:lang w:val="en-US"/>
        </w:rPr>
      </w:pPr>
    </w:p>
    <w:p w14:paraId="69425A3E" w14:textId="77777777" w:rsidR="00FB7807" w:rsidRPr="00733BB1" w:rsidRDefault="00FB7807" w:rsidP="00FB7807">
      <w:pPr>
        <w:autoSpaceDN w:val="0"/>
        <w:jc w:val="center"/>
        <w:textAlignment w:val="baseline"/>
        <w:rPr>
          <w:rFonts w:ascii="Calibri" w:hAnsi="Calibri" w:cs="Calibri"/>
          <w:b/>
          <w:bCs/>
          <w:color w:val="FF0000"/>
          <w:sz w:val="28"/>
          <w:szCs w:val="28"/>
          <w:lang w:eastAsia="en-CA"/>
        </w:rPr>
      </w:pPr>
      <w:r w:rsidRPr="00733BB1">
        <w:rPr>
          <w:rFonts w:ascii="Calibri" w:hAnsi="Calibri" w:cs="Calibri"/>
          <w:b/>
          <w:bCs/>
          <w:color w:val="FF0000"/>
          <w:sz w:val="28"/>
          <w:szCs w:val="28"/>
          <w:lang w:eastAsia="en-CA"/>
        </w:rPr>
        <w:lastRenderedPageBreak/>
        <w:t>TABLE OF CONTENTS</w:t>
      </w:r>
    </w:p>
    <w:p w14:paraId="24996CA8" w14:textId="08E113B3" w:rsidR="00FB7807" w:rsidRPr="00FB7807" w:rsidRDefault="00FB7807" w:rsidP="00FB7807">
      <w:pPr>
        <w:rPr>
          <w:lang w:val="en-US"/>
        </w:rPr>
      </w:pPr>
      <w:r>
        <w:rPr>
          <w:lang w:val="en-US"/>
        </w:rPr>
        <w:t>INTRODUCTION</w:t>
      </w:r>
      <w:r w:rsidRPr="00FB7807">
        <w:rPr>
          <w:lang w:val="en-US"/>
        </w:rPr>
        <w:t>…………………………………………………………………………………….……………</w:t>
      </w:r>
      <w:r w:rsidR="006D6401">
        <w:rPr>
          <w:lang w:val="en-US"/>
        </w:rPr>
        <w:t>……………</w:t>
      </w:r>
      <w:r w:rsidRPr="00FB7807">
        <w:rPr>
          <w:lang w:val="en-US"/>
        </w:rPr>
        <w:t>…</w:t>
      </w:r>
      <w:r w:rsidR="006D6401">
        <w:rPr>
          <w:lang w:val="en-US"/>
        </w:rPr>
        <w:t>..</w:t>
      </w:r>
      <w:r w:rsidRPr="00FB7807">
        <w:rPr>
          <w:lang w:val="en-US"/>
        </w:rPr>
        <w:tab/>
      </w:r>
      <w:r w:rsidR="00DF5E34">
        <w:rPr>
          <w:lang w:val="en-US"/>
        </w:rPr>
        <w:t>5</w:t>
      </w:r>
    </w:p>
    <w:p w14:paraId="76653803" w14:textId="283872DD" w:rsidR="00FB7807" w:rsidRDefault="00FB7807" w:rsidP="00FB7807">
      <w:pPr>
        <w:rPr>
          <w:lang w:val="en-US"/>
        </w:rPr>
      </w:pPr>
      <w:r w:rsidRPr="00FB7807">
        <w:rPr>
          <w:lang w:val="en-US"/>
        </w:rPr>
        <w:t>INDICATIONS……………………………………………….………………………..……………………………………………</w:t>
      </w:r>
      <w:r w:rsidR="006D6401">
        <w:rPr>
          <w:lang w:val="en-US"/>
        </w:rPr>
        <w:t>..</w:t>
      </w:r>
      <w:r w:rsidRPr="00FB7807">
        <w:rPr>
          <w:lang w:val="en-US"/>
        </w:rPr>
        <w:tab/>
      </w:r>
      <w:r w:rsidR="00DF5E34">
        <w:rPr>
          <w:lang w:val="en-US"/>
        </w:rPr>
        <w:t>6</w:t>
      </w:r>
    </w:p>
    <w:p w14:paraId="2E98B75C" w14:textId="07F8AE44" w:rsidR="006D6401" w:rsidRDefault="006D6401" w:rsidP="00FB7807">
      <w:pPr>
        <w:rPr>
          <w:lang w:val="en-US"/>
        </w:rPr>
      </w:pPr>
      <w:r>
        <w:rPr>
          <w:lang w:val="en-US"/>
        </w:rPr>
        <w:t>SPECIAL POPULATIONS…………………………………………………………………………………………………………</w:t>
      </w:r>
      <w:r>
        <w:rPr>
          <w:lang w:val="en-US"/>
        </w:rPr>
        <w:tab/>
      </w:r>
      <w:r w:rsidR="00DF5E34">
        <w:rPr>
          <w:lang w:val="en-US"/>
        </w:rPr>
        <w:t>6</w:t>
      </w:r>
    </w:p>
    <w:p w14:paraId="3226E7B7" w14:textId="04C52A75" w:rsidR="006D6401" w:rsidRDefault="006D6401" w:rsidP="00FB7807">
      <w:pPr>
        <w:rPr>
          <w:lang w:val="en-US"/>
        </w:rPr>
      </w:pPr>
      <w:r>
        <w:rPr>
          <w:lang w:val="en-US"/>
        </w:rPr>
        <w:t>DOSING CONSIDERATIONS…………………………………………………………………………………………………..</w:t>
      </w:r>
      <w:r>
        <w:rPr>
          <w:lang w:val="en-US"/>
        </w:rPr>
        <w:tab/>
      </w:r>
      <w:r w:rsidR="00DF5E34">
        <w:rPr>
          <w:lang w:val="en-US"/>
        </w:rPr>
        <w:t>7</w:t>
      </w:r>
    </w:p>
    <w:p w14:paraId="2422C85F" w14:textId="1510AB42" w:rsidR="00FB7807" w:rsidRPr="00FB7807" w:rsidRDefault="006D6401" w:rsidP="00FB7807">
      <w:pPr>
        <w:rPr>
          <w:lang w:val="en-US"/>
        </w:rPr>
      </w:pPr>
      <w:r>
        <w:rPr>
          <w:lang w:val="en-US"/>
        </w:rPr>
        <w:t>REFERENCES……………………..</w:t>
      </w:r>
      <w:r w:rsidR="00FB7807" w:rsidRPr="00FB7807">
        <w:rPr>
          <w:lang w:val="en-US"/>
        </w:rPr>
        <w:t>…………………..……………………………………..……………………………………</w:t>
      </w:r>
      <w:r>
        <w:rPr>
          <w:lang w:val="en-US"/>
        </w:rPr>
        <w:t>.</w:t>
      </w:r>
      <w:r w:rsidR="00FB7807" w:rsidRPr="00FB7807">
        <w:rPr>
          <w:lang w:val="en-US"/>
        </w:rPr>
        <w:t>…</w:t>
      </w:r>
      <w:r w:rsidR="00FB7807" w:rsidRPr="00FB7807">
        <w:rPr>
          <w:lang w:val="en-US"/>
        </w:rPr>
        <w:tab/>
      </w:r>
      <w:r w:rsidR="00DF5E34">
        <w:rPr>
          <w:lang w:val="en-US"/>
        </w:rPr>
        <w:t>9</w:t>
      </w:r>
    </w:p>
    <w:p w14:paraId="43256B75" w14:textId="1A338C8C" w:rsidR="00FB7807" w:rsidRDefault="00FB7807" w:rsidP="00FB7807">
      <w:pPr>
        <w:rPr>
          <w:lang w:val="en-US"/>
        </w:rPr>
      </w:pPr>
      <w:r w:rsidRPr="00FB7807">
        <w:rPr>
          <w:lang w:val="en-US"/>
        </w:rPr>
        <w:tab/>
      </w:r>
    </w:p>
    <w:p w14:paraId="5D45DB59" w14:textId="5BFCC90F" w:rsidR="00FB7807" w:rsidRDefault="00FB7807">
      <w:pPr>
        <w:rPr>
          <w:lang w:val="en-US"/>
        </w:rPr>
      </w:pPr>
    </w:p>
    <w:p w14:paraId="0BBA3B97" w14:textId="028CBBFE" w:rsidR="00FB7807" w:rsidRDefault="00FB7807">
      <w:pPr>
        <w:rPr>
          <w:lang w:val="en-US"/>
        </w:rPr>
      </w:pPr>
    </w:p>
    <w:p w14:paraId="6C14B239" w14:textId="71062254" w:rsidR="00FB7807" w:rsidRDefault="00FB7807">
      <w:pPr>
        <w:rPr>
          <w:lang w:val="en-US"/>
        </w:rPr>
      </w:pPr>
    </w:p>
    <w:p w14:paraId="135FD765" w14:textId="5ED7004D" w:rsidR="00FB7807" w:rsidRDefault="00FB7807">
      <w:pPr>
        <w:rPr>
          <w:lang w:val="en-US"/>
        </w:rPr>
      </w:pPr>
    </w:p>
    <w:p w14:paraId="7933762A" w14:textId="4649348D" w:rsidR="00FB7807" w:rsidRDefault="00FB7807">
      <w:pPr>
        <w:rPr>
          <w:lang w:val="en-US"/>
        </w:rPr>
      </w:pPr>
    </w:p>
    <w:p w14:paraId="0171D27A" w14:textId="06A45037" w:rsidR="00FB7807" w:rsidRDefault="00FB7807">
      <w:pPr>
        <w:rPr>
          <w:lang w:val="en-US"/>
        </w:rPr>
      </w:pPr>
    </w:p>
    <w:p w14:paraId="68A602CE" w14:textId="43C68058" w:rsidR="00FB7807" w:rsidRDefault="00FB7807">
      <w:pPr>
        <w:rPr>
          <w:lang w:val="en-US"/>
        </w:rPr>
      </w:pPr>
    </w:p>
    <w:p w14:paraId="313692F3" w14:textId="15B04C19" w:rsidR="00FB7807" w:rsidRDefault="00FB7807">
      <w:pPr>
        <w:rPr>
          <w:lang w:val="en-US"/>
        </w:rPr>
      </w:pPr>
    </w:p>
    <w:p w14:paraId="27640A10" w14:textId="43E2DD61" w:rsidR="00FB7807" w:rsidRDefault="00FB7807">
      <w:pPr>
        <w:rPr>
          <w:lang w:val="en-US"/>
        </w:rPr>
      </w:pPr>
    </w:p>
    <w:p w14:paraId="7153BCB5" w14:textId="347B703A" w:rsidR="00FB7807" w:rsidRDefault="00FB7807">
      <w:pPr>
        <w:rPr>
          <w:lang w:val="en-US"/>
        </w:rPr>
      </w:pPr>
    </w:p>
    <w:p w14:paraId="7E8D404D" w14:textId="3449B492" w:rsidR="00FB7807" w:rsidRDefault="00FB7807">
      <w:pPr>
        <w:rPr>
          <w:lang w:val="en-US"/>
        </w:rPr>
      </w:pPr>
    </w:p>
    <w:p w14:paraId="0AA12434" w14:textId="62F6863A" w:rsidR="00FB7807" w:rsidRDefault="00FB7807">
      <w:pPr>
        <w:rPr>
          <w:lang w:val="en-US"/>
        </w:rPr>
      </w:pPr>
    </w:p>
    <w:p w14:paraId="268846C6" w14:textId="550FDC64" w:rsidR="00FB7807" w:rsidRDefault="00FB7807">
      <w:pPr>
        <w:rPr>
          <w:lang w:val="en-US"/>
        </w:rPr>
      </w:pPr>
    </w:p>
    <w:p w14:paraId="5C86C696" w14:textId="397D55AA" w:rsidR="00FB7807" w:rsidRDefault="00FB7807">
      <w:pPr>
        <w:rPr>
          <w:lang w:val="en-US"/>
        </w:rPr>
      </w:pPr>
    </w:p>
    <w:p w14:paraId="184C2730" w14:textId="3C881A67" w:rsidR="00FB7807" w:rsidRDefault="00FB7807">
      <w:pPr>
        <w:rPr>
          <w:lang w:val="en-US"/>
        </w:rPr>
      </w:pPr>
    </w:p>
    <w:p w14:paraId="4C69C393" w14:textId="1080B64C" w:rsidR="00FB7807" w:rsidRDefault="00FB7807">
      <w:pPr>
        <w:rPr>
          <w:lang w:val="en-US"/>
        </w:rPr>
      </w:pPr>
    </w:p>
    <w:p w14:paraId="34DE378F" w14:textId="4C063A65" w:rsidR="00FB7807" w:rsidRDefault="00FB7807">
      <w:pPr>
        <w:rPr>
          <w:lang w:val="en-US"/>
        </w:rPr>
      </w:pPr>
    </w:p>
    <w:p w14:paraId="25FB1F8B" w14:textId="67037A5A" w:rsidR="00FB7807" w:rsidRDefault="00FB7807">
      <w:pPr>
        <w:rPr>
          <w:lang w:val="en-US"/>
        </w:rPr>
      </w:pPr>
    </w:p>
    <w:p w14:paraId="0B79ABD6" w14:textId="55C1DBC0" w:rsidR="006D6401" w:rsidRDefault="006D6401">
      <w:pPr>
        <w:rPr>
          <w:lang w:val="en-US"/>
        </w:rPr>
      </w:pPr>
    </w:p>
    <w:p w14:paraId="091838A2" w14:textId="01415734" w:rsidR="006D6401" w:rsidRDefault="006D6401">
      <w:pPr>
        <w:rPr>
          <w:lang w:val="en-US"/>
        </w:rPr>
      </w:pPr>
    </w:p>
    <w:p w14:paraId="42BB09C8" w14:textId="1C7317B9" w:rsidR="006D6401" w:rsidRDefault="006D6401">
      <w:pPr>
        <w:rPr>
          <w:lang w:val="en-US"/>
        </w:rPr>
      </w:pPr>
    </w:p>
    <w:p w14:paraId="16B0616D" w14:textId="77777777" w:rsidR="00FB7807" w:rsidRPr="006D6401" w:rsidRDefault="00FB7807" w:rsidP="00FB7807">
      <w:pPr>
        <w:pStyle w:val="Normal1"/>
        <w:spacing w:before="104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6D6401">
        <w:rPr>
          <w:rFonts w:asciiTheme="minorHAnsi" w:hAnsiTheme="minorHAnsi" w:cstheme="minorHAnsi"/>
          <w:b/>
          <w:color w:val="FF0000"/>
          <w:sz w:val="28"/>
          <w:szCs w:val="28"/>
        </w:rPr>
        <w:lastRenderedPageBreak/>
        <w:t xml:space="preserve">LIST OF ABBREVIATIONS </w:t>
      </w:r>
    </w:p>
    <w:p w14:paraId="2872CED1" w14:textId="77777777" w:rsidR="006D6401" w:rsidRDefault="006D6401">
      <w:pPr>
        <w:rPr>
          <w:b/>
          <w:bCs/>
          <w:lang w:val="en-US"/>
        </w:rPr>
      </w:pPr>
    </w:p>
    <w:p w14:paraId="3544EF79" w14:textId="37AD34F4" w:rsidR="006D6401" w:rsidRPr="00733BB1" w:rsidRDefault="006D6401" w:rsidP="006D6401">
      <w:pPr>
        <w:pStyle w:val="Normal1"/>
        <w:spacing w:before="1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S/D</w:t>
      </w:r>
      <w:r w:rsidRPr="00733BB1">
        <w:rPr>
          <w:rFonts w:asciiTheme="majorHAnsi" w:hAnsiTheme="majorHAnsi" w:cstheme="majorHAnsi"/>
        </w:rPr>
        <w:tab/>
      </w:r>
      <w:r w:rsidRPr="00733BB1">
        <w:rPr>
          <w:rFonts w:asciiTheme="majorHAnsi" w:hAnsiTheme="majorHAnsi" w:cstheme="majorHAnsi"/>
        </w:rPr>
        <w:tab/>
      </w:r>
      <w:r w:rsidRPr="00733BB1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Solvent Detergent Plasma</w:t>
      </w:r>
    </w:p>
    <w:p w14:paraId="30A3B279" w14:textId="1FF4BFD4" w:rsidR="006D6401" w:rsidRPr="00733BB1" w:rsidRDefault="006D6401" w:rsidP="006D6401">
      <w:pPr>
        <w:pStyle w:val="Normal1"/>
        <w:spacing w:before="1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CADTH</w:t>
      </w:r>
      <w:r w:rsidRPr="00733BB1">
        <w:rPr>
          <w:rFonts w:asciiTheme="majorHAnsi" w:hAnsiTheme="majorHAnsi" w:cstheme="majorHAnsi"/>
        </w:rPr>
        <w:tab/>
      </w:r>
      <w:r w:rsidRPr="00733BB1">
        <w:rPr>
          <w:rFonts w:asciiTheme="majorHAnsi" w:hAnsiTheme="majorHAnsi" w:cstheme="majorHAnsi"/>
        </w:rPr>
        <w:tab/>
      </w:r>
      <w:r w:rsidRPr="00733BB1">
        <w:rPr>
          <w:rFonts w:asciiTheme="majorHAnsi" w:hAnsiTheme="majorHAnsi" w:cstheme="majorHAnsi"/>
        </w:rPr>
        <w:tab/>
      </w:r>
      <w:r w:rsidRPr="006D6401">
        <w:rPr>
          <w:rFonts w:asciiTheme="majorHAnsi" w:hAnsiTheme="majorHAnsi" w:cstheme="majorHAnsi"/>
        </w:rPr>
        <w:t>Canadian Agency for Drugs and Technologies in Health</w:t>
      </w:r>
    </w:p>
    <w:p w14:paraId="1302AAAB" w14:textId="5C5B5A8A" w:rsidR="006D6401" w:rsidRPr="00733BB1" w:rsidRDefault="006D6401" w:rsidP="006D6401">
      <w:pPr>
        <w:pStyle w:val="Normal1"/>
        <w:spacing w:before="1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FP</w:t>
      </w:r>
      <w:r w:rsidRPr="00733BB1">
        <w:rPr>
          <w:rFonts w:asciiTheme="majorHAnsi" w:hAnsiTheme="majorHAnsi" w:cstheme="majorHAnsi"/>
        </w:rPr>
        <w:tab/>
      </w:r>
      <w:r w:rsidRPr="00733BB1">
        <w:rPr>
          <w:rFonts w:asciiTheme="majorHAnsi" w:hAnsiTheme="majorHAnsi" w:cstheme="majorHAnsi"/>
        </w:rPr>
        <w:tab/>
      </w:r>
      <w:r w:rsidRPr="00733BB1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Frozen Plasma</w:t>
      </w:r>
    </w:p>
    <w:p w14:paraId="685A2C5F" w14:textId="03E48D91" w:rsidR="006D6401" w:rsidRPr="00733BB1" w:rsidRDefault="006D6401" w:rsidP="006D6401">
      <w:pPr>
        <w:pStyle w:val="Normal1"/>
        <w:spacing w:before="1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TTP</w:t>
      </w:r>
      <w:r w:rsidRPr="00733BB1">
        <w:rPr>
          <w:rFonts w:asciiTheme="majorHAnsi" w:hAnsiTheme="majorHAnsi" w:cstheme="majorHAnsi"/>
        </w:rPr>
        <w:tab/>
      </w:r>
      <w:r w:rsidRPr="00733BB1">
        <w:rPr>
          <w:rFonts w:asciiTheme="majorHAnsi" w:hAnsiTheme="majorHAnsi" w:cstheme="majorHAnsi"/>
        </w:rPr>
        <w:tab/>
      </w:r>
      <w:r w:rsidRPr="00733BB1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T</w:t>
      </w:r>
      <w:r w:rsidRPr="006D6401">
        <w:rPr>
          <w:rFonts w:asciiTheme="majorHAnsi" w:hAnsiTheme="majorHAnsi" w:cstheme="majorHAnsi"/>
        </w:rPr>
        <w:t xml:space="preserve">hrombotic </w:t>
      </w:r>
      <w:r>
        <w:rPr>
          <w:rFonts w:asciiTheme="majorHAnsi" w:hAnsiTheme="majorHAnsi" w:cstheme="majorHAnsi"/>
        </w:rPr>
        <w:t>T</w:t>
      </w:r>
      <w:r w:rsidRPr="006D6401">
        <w:rPr>
          <w:rFonts w:asciiTheme="majorHAnsi" w:hAnsiTheme="majorHAnsi" w:cstheme="majorHAnsi"/>
        </w:rPr>
        <w:t xml:space="preserve">hrombocytopenic </w:t>
      </w:r>
      <w:r>
        <w:rPr>
          <w:rFonts w:asciiTheme="majorHAnsi" w:hAnsiTheme="majorHAnsi" w:cstheme="majorHAnsi"/>
        </w:rPr>
        <w:t>P</w:t>
      </w:r>
      <w:r w:rsidRPr="006D6401">
        <w:rPr>
          <w:rFonts w:asciiTheme="majorHAnsi" w:hAnsiTheme="majorHAnsi" w:cstheme="majorHAnsi"/>
        </w:rPr>
        <w:t>urpura</w:t>
      </w:r>
    </w:p>
    <w:p w14:paraId="3EF40C53" w14:textId="77777777" w:rsidR="006D6401" w:rsidRDefault="006D6401">
      <w:pPr>
        <w:rPr>
          <w:b/>
          <w:bCs/>
          <w:lang w:val="en-US"/>
        </w:rPr>
      </w:pPr>
    </w:p>
    <w:p w14:paraId="40F726DD" w14:textId="77777777" w:rsidR="006D6401" w:rsidRDefault="006D6401">
      <w:pPr>
        <w:rPr>
          <w:b/>
          <w:bCs/>
          <w:lang w:val="en-US"/>
        </w:rPr>
      </w:pPr>
    </w:p>
    <w:p w14:paraId="1DFDAA56" w14:textId="77777777" w:rsidR="006D6401" w:rsidRDefault="006D6401">
      <w:pPr>
        <w:rPr>
          <w:b/>
          <w:bCs/>
          <w:lang w:val="en-US"/>
        </w:rPr>
      </w:pPr>
    </w:p>
    <w:p w14:paraId="6CD0E98F" w14:textId="77777777" w:rsidR="006D6401" w:rsidRDefault="006D6401">
      <w:pPr>
        <w:rPr>
          <w:b/>
          <w:bCs/>
          <w:lang w:val="en-US"/>
        </w:rPr>
      </w:pPr>
    </w:p>
    <w:p w14:paraId="14062729" w14:textId="77777777" w:rsidR="006D6401" w:rsidRDefault="006D6401">
      <w:pPr>
        <w:rPr>
          <w:b/>
          <w:bCs/>
          <w:lang w:val="en-US"/>
        </w:rPr>
      </w:pPr>
    </w:p>
    <w:p w14:paraId="1D5A9A61" w14:textId="72DA3149" w:rsidR="006D6401" w:rsidRDefault="006D6401">
      <w:pPr>
        <w:rPr>
          <w:b/>
          <w:bCs/>
          <w:lang w:val="en-US"/>
        </w:rPr>
      </w:pPr>
    </w:p>
    <w:p w14:paraId="37A1B16F" w14:textId="5120C92A" w:rsidR="008747F2" w:rsidRDefault="008747F2">
      <w:pPr>
        <w:rPr>
          <w:b/>
          <w:bCs/>
          <w:lang w:val="en-US"/>
        </w:rPr>
      </w:pPr>
    </w:p>
    <w:p w14:paraId="71D221ED" w14:textId="256C80DA" w:rsidR="008747F2" w:rsidRDefault="008747F2">
      <w:pPr>
        <w:rPr>
          <w:b/>
          <w:bCs/>
          <w:lang w:val="en-US"/>
        </w:rPr>
      </w:pPr>
    </w:p>
    <w:p w14:paraId="4E97F97F" w14:textId="374B4FDC" w:rsidR="008747F2" w:rsidRDefault="008747F2">
      <w:pPr>
        <w:rPr>
          <w:b/>
          <w:bCs/>
          <w:lang w:val="en-US"/>
        </w:rPr>
      </w:pPr>
    </w:p>
    <w:p w14:paraId="5F4372C7" w14:textId="39971D8D" w:rsidR="008747F2" w:rsidRDefault="008747F2">
      <w:pPr>
        <w:rPr>
          <w:b/>
          <w:bCs/>
          <w:lang w:val="en-US"/>
        </w:rPr>
      </w:pPr>
    </w:p>
    <w:p w14:paraId="75557B38" w14:textId="6B64FABE" w:rsidR="008747F2" w:rsidRDefault="008747F2">
      <w:pPr>
        <w:rPr>
          <w:b/>
          <w:bCs/>
          <w:lang w:val="en-US"/>
        </w:rPr>
      </w:pPr>
    </w:p>
    <w:p w14:paraId="1BF43E57" w14:textId="04085811" w:rsidR="008747F2" w:rsidRDefault="008747F2">
      <w:pPr>
        <w:rPr>
          <w:b/>
          <w:bCs/>
          <w:lang w:val="en-US"/>
        </w:rPr>
      </w:pPr>
    </w:p>
    <w:p w14:paraId="4F272A17" w14:textId="2C868AC0" w:rsidR="008747F2" w:rsidRDefault="008747F2">
      <w:pPr>
        <w:rPr>
          <w:b/>
          <w:bCs/>
          <w:lang w:val="en-US"/>
        </w:rPr>
      </w:pPr>
    </w:p>
    <w:p w14:paraId="4085ABC9" w14:textId="631C1529" w:rsidR="008747F2" w:rsidRDefault="008747F2">
      <w:pPr>
        <w:rPr>
          <w:b/>
          <w:bCs/>
          <w:lang w:val="en-US"/>
        </w:rPr>
      </w:pPr>
    </w:p>
    <w:p w14:paraId="4764A940" w14:textId="7BBDD08A" w:rsidR="008747F2" w:rsidRDefault="008747F2">
      <w:pPr>
        <w:rPr>
          <w:b/>
          <w:bCs/>
          <w:lang w:val="en-US"/>
        </w:rPr>
      </w:pPr>
    </w:p>
    <w:p w14:paraId="3BF64B99" w14:textId="72BF0405" w:rsidR="008747F2" w:rsidRDefault="008747F2">
      <w:pPr>
        <w:rPr>
          <w:b/>
          <w:bCs/>
          <w:lang w:val="en-US"/>
        </w:rPr>
      </w:pPr>
    </w:p>
    <w:p w14:paraId="250A330C" w14:textId="13551753" w:rsidR="008747F2" w:rsidRDefault="008747F2">
      <w:pPr>
        <w:rPr>
          <w:b/>
          <w:bCs/>
          <w:lang w:val="en-US"/>
        </w:rPr>
      </w:pPr>
    </w:p>
    <w:p w14:paraId="426C74F6" w14:textId="55CFE8D8" w:rsidR="008747F2" w:rsidRDefault="008747F2">
      <w:pPr>
        <w:rPr>
          <w:b/>
          <w:bCs/>
          <w:lang w:val="en-US"/>
        </w:rPr>
      </w:pPr>
    </w:p>
    <w:p w14:paraId="24247A64" w14:textId="26781297" w:rsidR="008747F2" w:rsidRDefault="008747F2">
      <w:pPr>
        <w:rPr>
          <w:b/>
          <w:bCs/>
          <w:lang w:val="en-US"/>
        </w:rPr>
      </w:pPr>
    </w:p>
    <w:p w14:paraId="676DF089" w14:textId="7FB1B51F" w:rsidR="008747F2" w:rsidRDefault="008747F2">
      <w:pPr>
        <w:rPr>
          <w:b/>
          <w:bCs/>
          <w:lang w:val="en-US"/>
        </w:rPr>
      </w:pPr>
    </w:p>
    <w:p w14:paraId="5F7E620B" w14:textId="0E841C89" w:rsidR="008747F2" w:rsidRDefault="008747F2">
      <w:pPr>
        <w:rPr>
          <w:b/>
          <w:bCs/>
          <w:lang w:val="en-US"/>
        </w:rPr>
      </w:pPr>
    </w:p>
    <w:p w14:paraId="7D4773C1" w14:textId="3930B7F6" w:rsidR="008747F2" w:rsidRDefault="008747F2">
      <w:pPr>
        <w:rPr>
          <w:b/>
          <w:bCs/>
          <w:lang w:val="en-US"/>
        </w:rPr>
      </w:pPr>
    </w:p>
    <w:p w14:paraId="1D0E3428" w14:textId="77777777" w:rsidR="008747F2" w:rsidRDefault="008747F2">
      <w:pPr>
        <w:rPr>
          <w:b/>
          <w:bCs/>
          <w:lang w:val="en-US"/>
        </w:rPr>
      </w:pPr>
    </w:p>
    <w:p w14:paraId="21729BD4" w14:textId="77777777" w:rsidR="00CC7600" w:rsidRDefault="00CC7600">
      <w:pPr>
        <w:rPr>
          <w:b/>
          <w:bCs/>
          <w:color w:val="FF0000"/>
          <w:sz w:val="24"/>
          <w:szCs w:val="24"/>
          <w:lang w:val="en-US"/>
        </w:rPr>
      </w:pPr>
      <w:r>
        <w:rPr>
          <w:b/>
          <w:bCs/>
          <w:color w:val="FF0000"/>
          <w:sz w:val="24"/>
          <w:szCs w:val="24"/>
          <w:lang w:val="en-US"/>
        </w:rPr>
        <w:br w:type="page"/>
      </w:r>
    </w:p>
    <w:p w14:paraId="5B866720" w14:textId="78F0B09B" w:rsidR="00E25396" w:rsidRPr="00E25396" w:rsidRDefault="00311A09">
      <w:pPr>
        <w:rPr>
          <w:b/>
          <w:bCs/>
          <w:lang w:val="en-US"/>
        </w:rPr>
      </w:pPr>
      <w:r>
        <w:rPr>
          <w:b/>
          <w:bCs/>
          <w:color w:val="FF0000"/>
          <w:sz w:val="24"/>
          <w:szCs w:val="24"/>
          <w:lang w:val="en-US"/>
        </w:rPr>
        <w:lastRenderedPageBreak/>
        <w:t>BACKGROUND</w:t>
      </w:r>
    </w:p>
    <w:p w14:paraId="5B89311C" w14:textId="26EB276A" w:rsidR="009840C5" w:rsidRDefault="009840C5">
      <w:pPr>
        <w:rPr>
          <w:lang w:val="en-US"/>
        </w:rPr>
      </w:pPr>
      <w:r>
        <w:rPr>
          <w:lang w:val="en-US"/>
        </w:rPr>
        <w:t xml:space="preserve">On </w:t>
      </w:r>
      <w:r w:rsidRPr="00DF5E34">
        <w:rPr>
          <w:lang w:val="en-US"/>
        </w:rPr>
        <w:t>March 2</w:t>
      </w:r>
      <w:r w:rsidR="0078496E" w:rsidRPr="00DF5E34">
        <w:rPr>
          <w:lang w:val="en-US"/>
        </w:rPr>
        <w:t>7</w:t>
      </w:r>
      <w:r w:rsidR="00C771E4" w:rsidRPr="00DF5E34">
        <w:rPr>
          <w:lang w:val="en-US"/>
        </w:rPr>
        <w:t>,</w:t>
      </w:r>
      <w:r w:rsidR="0078496E" w:rsidRPr="00DF5E34">
        <w:rPr>
          <w:lang w:val="en-US"/>
        </w:rPr>
        <w:t xml:space="preserve"> </w:t>
      </w:r>
      <w:r w:rsidRPr="00DF5E34">
        <w:rPr>
          <w:lang w:val="en-US"/>
        </w:rPr>
        <w:t>2023, the</w:t>
      </w:r>
      <w:r>
        <w:rPr>
          <w:lang w:val="en-US"/>
        </w:rPr>
        <w:t xml:space="preserve"> restrictions on the use </w:t>
      </w:r>
      <w:r w:rsidRPr="00DF5E34">
        <w:rPr>
          <w:lang w:val="en-US"/>
        </w:rPr>
        <w:t xml:space="preserve">of </w:t>
      </w:r>
      <w:r w:rsidR="00A452CF" w:rsidRPr="00DF5E34">
        <w:rPr>
          <w:lang w:val="en-US"/>
        </w:rPr>
        <w:t>Octapla</w:t>
      </w:r>
      <w:r w:rsidR="00C771E4" w:rsidRPr="00DF5E34">
        <w:rPr>
          <w:lang w:val="en-US"/>
        </w:rPr>
        <w:t>s</w:t>
      </w:r>
      <w:r w:rsidR="00A452CF" w:rsidRPr="00DF5E34">
        <w:rPr>
          <w:lang w:val="en-US"/>
        </w:rPr>
        <w:t>ma</w:t>
      </w:r>
      <w:r w:rsidR="00A452CF">
        <w:rPr>
          <w:lang w:val="en-US"/>
        </w:rPr>
        <w:t xml:space="preserve"> </w:t>
      </w:r>
      <w:r>
        <w:rPr>
          <w:lang w:val="en-US"/>
        </w:rPr>
        <w:t>Solvent-Detergent</w:t>
      </w:r>
      <w:r w:rsidR="00A452CF">
        <w:rPr>
          <w:lang w:val="en-US"/>
        </w:rPr>
        <w:t xml:space="preserve"> Human Plasma </w:t>
      </w:r>
      <w:r>
        <w:rPr>
          <w:lang w:val="en-US"/>
        </w:rPr>
        <w:t xml:space="preserve">(S/D </w:t>
      </w:r>
      <w:r w:rsidR="00A452CF">
        <w:rPr>
          <w:lang w:val="en-US"/>
        </w:rPr>
        <w:t>P</w:t>
      </w:r>
      <w:r>
        <w:rPr>
          <w:lang w:val="en-US"/>
        </w:rPr>
        <w:t>lasma</w:t>
      </w:r>
      <w:r w:rsidR="00A452CF">
        <w:rPr>
          <w:lang w:val="en-US"/>
        </w:rPr>
        <w:t>)</w:t>
      </w:r>
      <w:r>
        <w:rPr>
          <w:lang w:val="en-US"/>
        </w:rPr>
        <w:t xml:space="preserve"> in Canada (outside the province of Quebec) will be removed. Prior to this date, S/D Plasma was restricted to specific patient groups as recommended by the Canadian Agency for Drugs and Technologies in Health</w:t>
      </w:r>
      <w:r w:rsidR="004B1A7D">
        <w:rPr>
          <w:vertAlign w:val="superscript"/>
          <w:lang w:val="en-US"/>
        </w:rPr>
        <w:t>1</w:t>
      </w:r>
      <w:r>
        <w:rPr>
          <w:lang w:val="en-US"/>
        </w:rPr>
        <w:t xml:space="preserve">.  The restrictions on the use of S/D </w:t>
      </w:r>
      <w:r w:rsidR="00A452CF">
        <w:rPr>
          <w:lang w:val="en-US"/>
        </w:rPr>
        <w:t>P</w:t>
      </w:r>
      <w:r>
        <w:rPr>
          <w:lang w:val="en-US"/>
        </w:rPr>
        <w:t xml:space="preserve">lasma were based on clinical evidence showing no difference in effectiveness as compared to regular frozen plasma (FP), and a substantial increase in cost </w:t>
      </w:r>
      <w:r w:rsidR="001727A8">
        <w:rPr>
          <w:lang w:val="en-US"/>
        </w:rPr>
        <w:t>associat</w:t>
      </w:r>
      <w:r w:rsidR="000E3EB7">
        <w:rPr>
          <w:lang w:val="en-US"/>
        </w:rPr>
        <w:t>ed</w:t>
      </w:r>
      <w:r w:rsidR="001727A8">
        <w:rPr>
          <w:lang w:val="en-US"/>
        </w:rPr>
        <w:t xml:space="preserve"> with S/D Plasma </w:t>
      </w:r>
      <w:r>
        <w:rPr>
          <w:lang w:val="en-US"/>
        </w:rPr>
        <w:t>as compared to FP</w:t>
      </w:r>
      <w:r w:rsidR="00017E56">
        <w:rPr>
          <w:vertAlign w:val="superscript"/>
          <w:lang w:val="en-US"/>
        </w:rPr>
        <w:t>2</w:t>
      </w:r>
      <w:r>
        <w:rPr>
          <w:lang w:val="en-US"/>
        </w:rPr>
        <w:t>. In July 202</w:t>
      </w:r>
      <w:r w:rsidR="00201DB7">
        <w:rPr>
          <w:lang w:val="en-US"/>
        </w:rPr>
        <w:t>2</w:t>
      </w:r>
      <w:r>
        <w:rPr>
          <w:lang w:val="en-US"/>
        </w:rPr>
        <w:t>, the Canadian Blood Services announce</w:t>
      </w:r>
      <w:r w:rsidR="00A452CF">
        <w:rPr>
          <w:lang w:val="en-US"/>
        </w:rPr>
        <w:t>d a transition to pathogen-reduced to platelet and plasma components as an additional layer of safety to the blood supply system in Canada. The first phase in the implementation of pathogen</w:t>
      </w:r>
      <w:r w:rsidR="00764FF6">
        <w:rPr>
          <w:lang w:val="en-US"/>
        </w:rPr>
        <w:t>-</w:t>
      </w:r>
      <w:r w:rsidR="00A452CF">
        <w:rPr>
          <w:lang w:val="en-US"/>
        </w:rPr>
        <w:t xml:space="preserve">reduced plasma is the transition from FP and S/D Plasma with a target of 80% </w:t>
      </w:r>
      <w:r w:rsidR="00C771E4" w:rsidRPr="00DF5E34">
        <w:rPr>
          <w:lang w:val="en-US"/>
        </w:rPr>
        <w:t xml:space="preserve">of </w:t>
      </w:r>
      <w:r w:rsidR="00A452CF" w:rsidRPr="00DF5E34">
        <w:rPr>
          <w:lang w:val="en-US"/>
        </w:rPr>
        <w:t>all transfused</w:t>
      </w:r>
      <w:r w:rsidR="00A452CF">
        <w:rPr>
          <w:lang w:val="en-US"/>
        </w:rPr>
        <w:t xml:space="preserve"> plasma to be S/D Plasma by September 2023.  The second phase (planned f</w:t>
      </w:r>
      <w:r w:rsidR="001727A8">
        <w:rPr>
          <w:lang w:val="en-US"/>
        </w:rPr>
        <w:t>or</w:t>
      </w:r>
      <w:r w:rsidR="00A452CF">
        <w:rPr>
          <w:lang w:val="en-US"/>
        </w:rPr>
        <w:t xml:space="preserve"> 2024-25) is to replace the remaining 20% of FP with pathogen-reduced </w:t>
      </w:r>
      <w:r w:rsidR="001727A8">
        <w:rPr>
          <w:lang w:val="en-US"/>
        </w:rPr>
        <w:t>frozen p</w:t>
      </w:r>
      <w:r w:rsidR="00A452CF">
        <w:rPr>
          <w:lang w:val="en-US"/>
        </w:rPr>
        <w:t xml:space="preserve">lasma using the </w:t>
      </w:r>
      <w:r w:rsidR="001727A8">
        <w:rPr>
          <w:lang w:val="en-US"/>
        </w:rPr>
        <w:t>same technology (</w:t>
      </w:r>
      <w:r w:rsidR="00764FF6">
        <w:rPr>
          <w:lang w:val="en-US"/>
        </w:rPr>
        <w:t>I</w:t>
      </w:r>
      <w:r w:rsidR="001727A8">
        <w:rPr>
          <w:lang w:val="en-US"/>
        </w:rPr>
        <w:t xml:space="preserve">ntercept Blood System) currently in use to produce pathogen-reduced platelets. </w:t>
      </w:r>
    </w:p>
    <w:p w14:paraId="41E71D14" w14:textId="0B8631B5" w:rsidR="007E1145" w:rsidRDefault="001531BB">
      <w:pPr>
        <w:rPr>
          <w:lang w:val="en-US"/>
        </w:rPr>
      </w:pPr>
      <w:r>
        <w:rPr>
          <w:lang w:val="en-US"/>
        </w:rPr>
        <w:t xml:space="preserve">S/D Plasma has been used in Canada since 2011 on a restricted basis, and in many European countries (Netherlands, Finland, Sweden, Norway, United Kingdom) as the primary plasma product with no concerns for either clinical efficacy or safety. </w:t>
      </w:r>
      <w:r w:rsidR="00A95A49" w:rsidRPr="00A95A49">
        <w:rPr>
          <w:lang w:val="en-US"/>
        </w:rPr>
        <w:t>S/D Plasma is made from large pool</w:t>
      </w:r>
      <w:r w:rsidR="00F1731E">
        <w:rPr>
          <w:lang w:val="en-US"/>
        </w:rPr>
        <w:t>s</w:t>
      </w:r>
      <w:r w:rsidR="00A95A49" w:rsidRPr="00A95A49">
        <w:rPr>
          <w:lang w:val="en-US"/>
        </w:rPr>
        <w:t xml:space="preserve"> of plasma </w:t>
      </w:r>
      <w:r w:rsidR="00F1731E">
        <w:rPr>
          <w:lang w:val="en-US"/>
        </w:rPr>
        <w:t>that undergo pathogen inactivation using a solvent-</w:t>
      </w:r>
      <w:r w:rsidR="00F1731E" w:rsidRPr="00DF5E34">
        <w:rPr>
          <w:lang w:val="en-US"/>
        </w:rPr>
        <w:t xml:space="preserve">detergent </w:t>
      </w:r>
      <w:r w:rsidR="00C771E4" w:rsidRPr="00DF5E34">
        <w:rPr>
          <w:lang w:val="en-US"/>
        </w:rPr>
        <w:t>process and</w:t>
      </w:r>
      <w:r w:rsidR="00A95A49" w:rsidRPr="00A95A49">
        <w:rPr>
          <w:lang w:val="en-US"/>
        </w:rPr>
        <w:t xml:space="preserve"> is then divided into 200 mL units</w:t>
      </w:r>
      <w:r w:rsidR="00F1731E">
        <w:rPr>
          <w:lang w:val="en-US"/>
        </w:rPr>
        <w:t xml:space="preserve">.  </w:t>
      </w:r>
      <w:r w:rsidR="00A423AC">
        <w:rPr>
          <w:lang w:val="en-US"/>
        </w:rPr>
        <w:t xml:space="preserve">As a result of the manufacturing process, S/D Plasma </w:t>
      </w:r>
      <w:r w:rsidR="008A2752">
        <w:rPr>
          <w:lang w:val="en-US"/>
        </w:rPr>
        <w:t xml:space="preserve">units </w:t>
      </w:r>
      <w:r w:rsidR="00A423AC">
        <w:rPr>
          <w:lang w:val="en-US"/>
        </w:rPr>
        <w:t>h</w:t>
      </w:r>
      <w:r w:rsidR="008A2752">
        <w:rPr>
          <w:lang w:val="en-US"/>
        </w:rPr>
        <w:t>ave</w:t>
      </w:r>
      <w:r w:rsidR="00A95A49" w:rsidRPr="00A95A49">
        <w:rPr>
          <w:lang w:val="en-US"/>
        </w:rPr>
        <w:t xml:space="preserve"> relatively standard or uniform levels of coagulation factors.</w:t>
      </w:r>
      <w:r w:rsidR="006A3923">
        <w:rPr>
          <w:lang w:val="en-US"/>
        </w:rPr>
        <w:t xml:space="preserve"> </w:t>
      </w:r>
      <w:r w:rsidR="009E46B5">
        <w:rPr>
          <w:lang w:val="en-US"/>
        </w:rPr>
        <w:t>The levels for all c</w:t>
      </w:r>
      <w:r w:rsidR="001E73A0">
        <w:rPr>
          <w:lang w:val="en-US"/>
        </w:rPr>
        <w:t>lotting factors are similar to those in FP with the exception of lower protein S and anti-</w:t>
      </w:r>
      <w:r w:rsidR="002A64E0">
        <w:rPr>
          <w:lang w:val="en-US"/>
        </w:rPr>
        <w:t>plasmin</w:t>
      </w:r>
      <w:r w:rsidR="001E73A0">
        <w:rPr>
          <w:lang w:val="en-US"/>
        </w:rPr>
        <w:t xml:space="preserve"> levels</w:t>
      </w:r>
      <w:r w:rsidR="00B0553C">
        <w:rPr>
          <w:lang w:val="en-US"/>
        </w:rPr>
        <w:t xml:space="preserve">. </w:t>
      </w:r>
      <w:r w:rsidR="009A2790">
        <w:rPr>
          <w:lang w:val="en-US"/>
        </w:rPr>
        <w:t>T</w:t>
      </w:r>
      <w:r w:rsidR="00E54CF9">
        <w:rPr>
          <w:lang w:val="en-US"/>
        </w:rPr>
        <w:t xml:space="preserve">he pooling of units for </w:t>
      </w:r>
      <w:r w:rsidR="00F36FB3">
        <w:rPr>
          <w:lang w:val="en-US"/>
        </w:rPr>
        <w:t>S/D Pla</w:t>
      </w:r>
      <w:r w:rsidR="009A1BE7">
        <w:rPr>
          <w:lang w:val="en-US"/>
        </w:rPr>
        <w:t xml:space="preserve">sma </w:t>
      </w:r>
      <w:r w:rsidR="00DE2773">
        <w:rPr>
          <w:lang w:val="en-US"/>
        </w:rPr>
        <w:t>results in decreased allergic reactions</w:t>
      </w:r>
      <w:r w:rsidR="003764AB">
        <w:rPr>
          <w:vertAlign w:val="superscript"/>
          <w:lang w:val="en-US"/>
        </w:rPr>
        <w:t>3-</w:t>
      </w:r>
      <w:r w:rsidR="004737A4">
        <w:rPr>
          <w:vertAlign w:val="superscript"/>
          <w:lang w:val="en-US"/>
        </w:rPr>
        <w:t>6</w:t>
      </w:r>
      <w:r w:rsidR="003764AB">
        <w:rPr>
          <w:lang w:val="en-US"/>
        </w:rPr>
        <w:t xml:space="preserve"> </w:t>
      </w:r>
      <w:r w:rsidR="00DE2773">
        <w:rPr>
          <w:lang w:val="en-US"/>
        </w:rPr>
        <w:t>and possibly a reduction in TRALI reac</w:t>
      </w:r>
      <w:r w:rsidR="009A2790">
        <w:rPr>
          <w:lang w:val="en-US"/>
        </w:rPr>
        <w:t>tions</w:t>
      </w:r>
      <w:r w:rsidR="004737A4">
        <w:rPr>
          <w:vertAlign w:val="superscript"/>
          <w:lang w:val="en-US"/>
        </w:rPr>
        <w:t>7</w:t>
      </w:r>
      <w:r w:rsidR="009A2790">
        <w:rPr>
          <w:lang w:val="en-US"/>
        </w:rPr>
        <w:t xml:space="preserve">.  </w:t>
      </w:r>
    </w:p>
    <w:p w14:paraId="0AAA3177" w14:textId="27BB350E" w:rsidR="000E3EB7" w:rsidRDefault="00B0553C">
      <w:pPr>
        <w:rPr>
          <w:lang w:val="en-US"/>
        </w:rPr>
      </w:pPr>
      <w:r w:rsidRPr="00B0553C">
        <w:rPr>
          <w:lang w:val="en-US"/>
        </w:rPr>
        <w:t xml:space="preserve">The transition to S/D Plasma represents a significant change in hospital transfusion practice in Canada. While S/D Plasma and FP have the same clinical </w:t>
      </w:r>
      <w:r>
        <w:rPr>
          <w:lang w:val="en-US"/>
        </w:rPr>
        <w:t>indications</w:t>
      </w:r>
      <w:r w:rsidR="00AE3901">
        <w:rPr>
          <w:lang w:val="en-US"/>
        </w:rPr>
        <w:t>, t</w:t>
      </w:r>
      <w:r w:rsidR="001A290D">
        <w:rPr>
          <w:lang w:val="en-US"/>
        </w:rPr>
        <w:t>here are so</w:t>
      </w:r>
      <w:r w:rsidR="000E3EB7">
        <w:rPr>
          <w:lang w:val="en-US"/>
        </w:rPr>
        <w:t>me differences in the products themselves and the packaging of the product</w:t>
      </w:r>
      <w:r w:rsidR="005E3C74">
        <w:rPr>
          <w:lang w:val="en-US"/>
        </w:rPr>
        <w:t>,</w:t>
      </w:r>
      <w:r w:rsidR="000E3EB7">
        <w:rPr>
          <w:lang w:val="en-US"/>
        </w:rPr>
        <w:t xml:space="preserve"> which are important for health care practitioners and hospital transfusion medicine services. </w:t>
      </w:r>
      <w:r w:rsidR="00C71517">
        <w:rPr>
          <w:lang w:val="en-US"/>
        </w:rPr>
        <w:t xml:space="preserve">Further information from Canadian Blood Services on S/D Plasma and the transition to this product can be found at </w:t>
      </w:r>
      <w:hyperlink r:id="rId8" w:history="1">
        <w:r w:rsidR="00C71517" w:rsidRPr="003A4983">
          <w:rPr>
            <w:rStyle w:val="Hyperlink"/>
            <w:lang w:val="en-US"/>
          </w:rPr>
          <w:t>https://profedu.blood.ca/en/transfusion/publications/faq-solvent-detergent-sd-treated-plasma-octaplasma</w:t>
        </w:r>
      </w:hyperlink>
      <w:r w:rsidR="004737A4">
        <w:rPr>
          <w:rStyle w:val="Hyperlink"/>
          <w:vertAlign w:val="superscript"/>
          <w:lang w:val="en-US"/>
        </w:rPr>
        <w:t>8</w:t>
      </w:r>
      <w:r w:rsidR="00C71517">
        <w:rPr>
          <w:lang w:val="en-US"/>
        </w:rPr>
        <w:t>.</w:t>
      </w:r>
    </w:p>
    <w:p w14:paraId="35329B7D" w14:textId="3A6FA6E7" w:rsidR="00C71517" w:rsidRDefault="00C71517">
      <w:pPr>
        <w:rPr>
          <w:lang w:val="en-US"/>
        </w:rPr>
      </w:pPr>
      <w:r>
        <w:rPr>
          <w:lang w:val="en-US"/>
        </w:rPr>
        <w:t xml:space="preserve">This document from the National Advisory Committee on Blood and Blood Products provides additional clinical recommendations regarding the indications, dosing, </w:t>
      </w:r>
      <w:r w:rsidR="001F3DAF">
        <w:rPr>
          <w:lang w:val="en-US"/>
        </w:rPr>
        <w:t xml:space="preserve">and the </w:t>
      </w:r>
      <w:r w:rsidR="00650EFD">
        <w:rPr>
          <w:lang w:val="en-US"/>
        </w:rPr>
        <w:t xml:space="preserve">use in </w:t>
      </w:r>
      <w:r>
        <w:rPr>
          <w:lang w:val="en-US"/>
        </w:rPr>
        <w:t>special population</w:t>
      </w:r>
      <w:r w:rsidR="001F3DAF">
        <w:rPr>
          <w:lang w:val="en-US"/>
        </w:rPr>
        <w:t>s</w:t>
      </w:r>
      <w:r>
        <w:rPr>
          <w:lang w:val="en-US"/>
        </w:rPr>
        <w:t>.</w:t>
      </w:r>
    </w:p>
    <w:p w14:paraId="6462AAAF" w14:textId="77777777" w:rsidR="00C71517" w:rsidRDefault="00C71517">
      <w:pPr>
        <w:rPr>
          <w:lang w:val="en-US"/>
        </w:rPr>
      </w:pPr>
    </w:p>
    <w:p w14:paraId="660D976D" w14:textId="77777777" w:rsidR="00CC7600" w:rsidRDefault="00CC7600">
      <w:pPr>
        <w:rPr>
          <w:b/>
          <w:bCs/>
          <w:color w:val="FF0000"/>
          <w:sz w:val="24"/>
          <w:szCs w:val="24"/>
          <w:lang w:val="en-US"/>
        </w:rPr>
      </w:pPr>
      <w:r>
        <w:rPr>
          <w:b/>
          <w:bCs/>
          <w:color w:val="FF0000"/>
          <w:sz w:val="24"/>
          <w:szCs w:val="24"/>
          <w:lang w:val="en-US"/>
        </w:rPr>
        <w:br w:type="page"/>
      </w:r>
    </w:p>
    <w:p w14:paraId="40DD5324" w14:textId="31D22621" w:rsidR="001727A8" w:rsidRPr="008747F2" w:rsidRDefault="008747F2">
      <w:pPr>
        <w:rPr>
          <w:b/>
          <w:bCs/>
          <w:color w:val="FF0000"/>
          <w:sz w:val="24"/>
          <w:szCs w:val="24"/>
          <w:lang w:val="en-US"/>
        </w:rPr>
      </w:pPr>
      <w:r w:rsidRPr="008747F2">
        <w:rPr>
          <w:b/>
          <w:bCs/>
          <w:color w:val="FF0000"/>
          <w:sz w:val="24"/>
          <w:szCs w:val="24"/>
          <w:lang w:val="en-US"/>
        </w:rPr>
        <w:lastRenderedPageBreak/>
        <w:t>INDICATIONS</w:t>
      </w:r>
    </w:p>
    <w:p w14:paraId="1A6BF762" w14:textId="1AEF868E" w:rsidR="006D1AD9" w:rsidRDefault="0075201A" w:rsidP="0001439F">
      <w:pPr>
        <w:jc w:val="both"/>
        <w:rPr>
          <w:lang w:val="en-US"/>
        </w:rPr>
      </w:pPr>
      <w:r>
        <w:rPr>
          <w:lang w:val="en-US"/>
        </w:rPr>
        <w:t>The main indication for plasma transfusion is the replacement of deficient coagulation factor(s) in patients with active bleeding, or prior to a surgery or invasive procedures.  Specific guidelines and recommendations for the use of plasma transfusion</w:t>
      </w:r>
      <w:r w:rsidR="006D1AD9">
        <w:rPr>
          <w:lang w:val="en-US"/>
        </w:rPr>
        <w:t xml:space="preserve"> have been previous published</w:t>
      </w:r>
      <w:r w:rsidR="004737A4">
        <w:rPr>
          <w:vertAlign w:val="superscript"/>
          <w:lang w:val="en-US"/>
        </w:rPr>
        <w:t>9</w:t>
      </w:r>
      <w:r w:rsidR="0000546B">
        <w:rPr>
          <w:vertAlign w:val="superscript"/>
          <w:lang w:val="en-US"/>
        </w:rPr>
        <w:t>,10</w:t>
      </w:r>
      <w:r>
        <w:rPr>
          <w:lang w:val="en-US"/>
        </w:rPr>
        <w:t xml:space="preserve">.  </w:t>
      </w:r>
    </w:p>
    <w:p w14:paraId="67B2B944" w14:textId="6075181D" w:rsidR="00E25396" w:rsidRPr="000A3DE7" w:rsidRDefault="006D1AD9" w:rsidP="0001439F">
      <w:pPr>
        <w:jc w:val="both"/>
        <w:rPr>
          <w:lang w:val="en-US"/>
        </w:rPr>
      </w:pPr>
      <w:r>
        <w:rPr>
          <w:lang w:val="en-US"/>
        </w:rPr>
        <w:t xml:space="preserve">In </w:t>
      </w:r>
      <w:r w:rsidR="00C71517">
        <w:rPr>
          <w:lang w:val="en-US"/>
        </w:rPr>
        <w:t xml:space="preserve">general, most patients who would be treated with </w:t>
      </w:r>
      <w:r w:rsidR="00E25396">
        <w:rPr>
          <w:lang w:val="en-US"/>
        </w:rPr>
        <w:t xml:space="preserve">FP can receive S/D </w:t>
      </w:r>
      <w:r w:rsidR="00126342">
        <w:rPr>
          <w:lang w:val="en-US"/>
        </w:rPr>
        <w:t>P</w:t>
      </w:r>
      <w:r w:rsidR="00E25396">
        <w:rPr>
          <w:lang w:val="en-US"/>
        </w:rPr>
        <w:t xml:space="preserve">lasma, these would include the </w:t>
      </w:r>
      <w:r w:rsidR="00E25396" w:rsidRPr="000A3DE7">
        <w:rPr>
          <w:lang w:val="en-US"/>
        </w:rPr>
        <w:t>following indic</w:t>
      </w:r>
      <w:r w:rsidR="0075201A" w:rsidRPr="000A3DE7">
        <w:rPr>
          <w:lang w:val="en-US"/>
        </w:rPr>
        <w:t>a</w:t>
      </w:r>
      <w:r w:rsidR="00E25396" w:rsidRPr="000A3DE7">
        <w:rPr>
          <w:lang w:val="en-US"/>
        </w:rPr>
        <w:t>tions:</w:t>
      </w:r>
    </w:p>
    <w:p w14:paraId="5E567E73" w14:textId="1FF1CA16" w:rsidR="000E3EB7" w:rsidRPr="000A3DE7" w:rsidRDefault="0075201A" w:rsidP="0001439F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0A3DE7">
        <w:t xml:space="preserve">Bleeding patients or patients undergoing invasive procedures who require replacement of multiple plasma coagulation factors, </w:t>
      </w:r>
    </w:p>
    <w:p w14:paraId="3D514BB9" w14:textId="1D4C040F" w:rsidR="000E3EB7" w:rsidRPr="000A3DE7" w:rsidRDefault="0075201A" w:rsidP="0001439F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0A3DE7">
        <w:t xml:space="preserve">Patients with massive transfusion with clinically significant coagulation abnormalities, </w:t>
      </w:r>
    </w:p>
    <w:p w14:paraId="0F1A3708" w14:textId="2F8BF547" w:rsidR="000E3EB7" w:rsidRPr="000A3DE7" w:rsidRDefault="0075201A" w:rsidP="0001439F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0A3DE7">
        <w:t xml:space="preserve">Patients on warfarin who are bleeding or need to undergo an invasive procedure before vitamin </w:t>
      </w:r>
      <w:r w:rsidR="00E2091E" w:rsidRPr="000A3DE7">
        <w:t>K</w:t>
      </w:r>
      <w:r w:rsidRPr="000A3DE7">
        <w:t xml:space="preserve"> could reverse the warfarin effect, and where prothrombin complex co</w:t>
      </w:r>
      <w:r w:rsidR="000E3EB7" w:rsidRPr="000A3DE7">
        <w:t>ncentrate is not available or is contraindicated</w:t>
      </w:r>
      <w:r w:rsidR="00E25396" w:rsidRPr="000A3DE7">
        <w:t xml:space="preserve">, </w:t>
      </w:r>
    </w:p>
    <w:p w14:paraId="01887665" w14:textId="5E40DC9B" w:rsidR="00C71517" w:rsidRPr="000A3DE7" w:rsidRDefault="0075201A" w:rsidP="0001439F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0A3DE7">
        <w:t xml:space="preserve">Patients with selected coagulation factor or with rare specific plasma protein deficiencies for which a more appropriate alternative therapy is not available, </w:t>
      </w:r>
    </w:p>
    <w:p w14:paraId="58A6E8FC" w14:textId="09161159" w:rsidR="00C71517" w:rsidRPr="000A3DE7" w:rsidRDefault="0075201A" w:rsidP="0001439F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0A3DE7">
        <w:t>Preparation of reconstituted whole blood</w:t>
      </w:r>
      <w:r w:rsidR="000E3EB7" w:rsidRPr="000A3DE7">
        <w:t xml:space="preserve">, </w:t>
      </w:r>
    </w:p>
    <w:p w14:paraId="6A0B8AC2" w14:textId="5CA58370" w:rsidR="00C71517" w:rsidRPr="000A3DE7" w:rsidRDefault="0075201A" w:rsidP="0001439F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0A3DE7">
        <w:t xml:space="preserve">Patients </w:t>
      </w:r>
      <w:r w:rsidR="000E3EB7" w:rsidRPr="000A3DE7">
        <w:t>with thrombotic thrombocytopenic purpura (TTP)</w:t>
      </w:r>
      <w:r w:rsidRPr="000A3DE7">
        <w:t>.</w:t>
      </w:r>
    </w:p>
    <w:p w14:paraId="5F0B4F8A" w14:textId="3B87FEAE" w:rsidR="00C71517" w:rsidRPr="000A3DE7" w:rsidRDefault="00E25396" w:rsidP="0001439F">
      <w:pPr>
        <w:jc w:val="both"/>
        <w:rPr>
          <w:lang w:val="en-US"/>
        </w:rPr>
      </w:pPr>
      <w:r w:rsidRPr="000A3DE7">
        <w:rPr>
          <w:lang w:val="en-US"/>
        </w:rPr>
        <w:t xml:space="preserve">There are a limited number of specific contraindications to </w:t>
      </w:r>
      <w:r w:rsidR="000D1DB8" w:rsidRPr="000A3DE7">
        <w:rPr>
          <w:lang w:val="en-US"/>
        </w:rPr>
        <w:t>S</w:t>
      </w:r>
      <w:r w:rsidRPr="000A3DE7">
        <w:rPr>
          <w:lang w:val="en-US"/>
        </w:rPr>
        <w:t>/D Plasma:</w:t>
      </w:r>
    </w:p>
    <w:p w14:paraId="52D5F0F9" w14:textId="78CCCF4A" w:rsidR="0075201A" w:rsidRPr="000A3DE7" w:rsidRDefault="0075201A" w:rsidP="0001439F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0A3DE7">
        <w:rPr>
          <w:lang w:val="en-US"/>
        </w:rPr>
        <w:t xml:space="preserve">Patients with IgA deficiency and documented anti-IgA antibodies.  </w:t>
      </w:r>
      <w:r w:rsidR="00993CE8" w:rsidRPr="000A3DE7">
        <w:rPr>
          <w:lang w:val="en-US"/>
        </w:rPr>
        <w:t xml:space="preserve">These patients </w:t>
      </w:r>
      <w:r w:rsidR="00F15C4D" w:rsidRPr="000A3DE7">
        <w:rPr>
          <w:lang w:val="en-US"/>
        </w:rPr>
        <w:t xml:space="preserve">will also </w:t>
      </w:r>
      <w:r w:rsidR="007E3F5D" w:rsidRPr="000A3DE7">
        <w:rPr>
          <w:lang w:val="en-US"/>
        </w:rPr>
        <w:t xml:space="preserve">potentially have allergic reactions to regular FP and </w:t>
      </w:r>
      <w:r w:rsidR="00993CE8" w:rsidRPr="000A3DE7">
        <w:rPr>
          <w:lang w:val="en-US"/>
        </w:rPr>
        <w:t>should only receive FP from IgA defici</w:t>
      </w:r>
      <w:r w:rsidR="0086226E" w:rsidRPr="000A3DE7">
        <w:rPr>
          <w:lang w:val="en-US"/>
        </w:rPr>
        <w:t xml:space="preserve">ent donors. </w:t>
      </w:r>
      <w:r w:rsidRPr="000A3DE7">
        <w:rPr>
          <w:lang w:val="en-US"/>
        </w:rPr>
        <w:t xml:space="preserve">IgA deficiency </w:t>
      </w:r>
      <w:r w:rsidR="00F15C4D" w:rsidRPr="000A3DE7">
        <w:rPr>
          <w:lang w:val="en-US"/>
        </w:rPr>
        <w:t>alone (no anti-</w:t>
      </w:r>
      <w:r w:rsidR="0086226E" w:rsidRPr="000A3DE7">
        <w:rPr>
          <w:lang w:val="en-US"/>
        </w:rPr>
        <w:t>IgA anti</w:t>
      </w:r>
      <w:r w:rsidR="00F15C4D" w:rsidRPr="000A3DE7">
        <w:rPr>
          <w:lang w:val="en-US"/>
        </w:rPr>
        <w:t>bodies)</w:t>
      </w:r>
      <w:r w:rsidRPr="000A3DE7">
        <w:rPr>
          <w:lang w:val="en-US"/>
        </w:rPr>
        <w:t xml:space="preserve"> is not a contraindication as most patients with this relatively common deficiency do not form antibodies and will not have an adverse reaction to blood components</w:t>
      </w:r>
      <w:r w:rsidR="00561002">
        <w:rPr>
          <w:vertAlign w:val="superscript"/>
          <w:lang w:val="en-US"/>
        </w:rPr>
        <w:t>1</w:t>
      </w:r>
      <w:r w:rsidR="0000546B">
        <w:rPr>
          <w:vertAlign w:val="superscript"/>
          <w:lang w:val="en-US"/>
        </w:rPr>
        <w:t>1</w:t>
      </w:r>
      <w:r w:rsidR="004737A4">
        <w:rPr>
          <w:lang w:val="en-US"/>
        </w:rPr>
        <w:t>.</w:t>
      </w:r>
    </w:p>
    <w:p w14:paraId="23F01F13" w14:textId="1826FB71" w:rsidR="0075201A" w:rsidRPr="000A3DE7" w:rsidRDefault="0075201A" w:rsidP="0001439F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0A3DE7">
        <w:rPr>
          <w:lang w:val="en-US"/>
        </w:rPr>
        <w:t>Patients with severe deficiency of protein S.  S/D Plasm</w:t>
      </w:r>
      <w:r w:rsidR="006D1AD9" w:rsidRPr="000A3DE7">
        <w:rPr>
          <w:lang w:val="en-US"/>
        </w:rPr>
        <w:t>a has significantly lower levels of protein S as compared to FP, which may result in an increased risk of blood clots. If these patients</w:t>
      </w:r>
      <w:r w:rsidR="00A651DA" w:rsidRPr="000A3DE7">
        <w:rPr>
          <w:lang w:val="en-US"/>
        </w:rPr>
        <w:t xml:space="preserve"> with severe deficiencies of protein S</w:t>
      </w:r>
      <w:r w:rsidR="006D1AD9" w:rsidRPr="000A3DE7">
        <w:rPr>
          <w:lang w:val="en-US"/>
        </w:rPr>
        <w:t xml:space="preserve"> require a plasma transfusion, they </w:t>
      </w:r>
      <w:r w:rsidR="000521F3" w:rsidRPr="000A3DE7">
        <w:rPr>
          <w:lang w:val="en-US"/>
        </w:rPr>
        <w:t xml:space="preserve">should </w:t>
      </w:r>
      <w:r w:rsidR="006D1AD9" w:rsidRPr="000A3DE7">
        <w:rPr>
          <w:lang w:val="en-US"/>
        </w:rPr>
        <w:t>receive FP.</w:t>
      </w:r>
    </w:p>
    <w:p w14:paraId="0DCC2745" w14:textId="77777777" w:rsidR="00C5411F" w:rsidRDefault="00C5411F" w:rsidP="006D1AD9">
      <w:pPr>
        <w:rPr>
          <w:lang w:val="en-US"/>
        </w:rPr>
      </w:pPr>
    </w:p>
    <w:p w14:paraId="5E6CEEA2" w14:textId="709635FB" w:rsidR="006D1AD9" w:rsidRPr="008747F2" w:rsidRDefault="008747F2" w:rsidP="006D1AD9">
      <w:pPr>
        <w:rPr>
          <w:b/>
          <w:bCs/>
          <w:color w:val="FF0000"/>
          <w:sz w:val="24"/>
          <w:szCs w:val="24"/>
          <w:lang w:val="en-US"/>
        </w:rPr>
      </w:pPr>
      <w:r w:rsidRPr="008747F2">
        <w:rPr>
          <w:b/>
          <w:bCs/>
          <w:color w:val="FF0000"/>
          <w:sz w:val="24"/>
          <w:szCs w:val="24"/>
          <w:lang w:val="en-US"/>
        </w:rPr>
        <w:t>SPECIAL POPULATIONS:</w:t>
      </w:r>
    </w:p>
    <w:p w14:paraId="3397F9DE" w14:textId="660C4178" w:rsidR="006D1AD9" w:rsidRDefault="000A2745" w:rsidP="0001439F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Pediatrics</w:t>
      </w:r>
      <w:r w:rsidR="00D32FF6">
        <w:rPr>
          <w:lang w:val="en-US"/>
        </w:rPr>
        <w:t>.</w:t>
      </w:r>
      <w:r>
        <w:rPr>
          <w:lang w:val="en-US"/>
        </w:rPr>
        <w:t xml:space="preserve"> </w:t>
      </w:r>
      <w:r w:rsidR="00A136D9" w:rsidRPr="00A136D9">
        <w:rPr>
          <w:lang w:val="en-US"/>
        </w:rPr>
        <w:t xml:space="preserve">Based on </w:t>
      </w:r>
      <w:r w:rsidR="00CB6951">
        <w:rPr>
          <w:lang w:val="en-US"/>
        </w:rPr>
        <w:t>limited</w:t>
      </w:r>
      <w:r w:rsidR="00A136D9" w:rsidRPr="00A136D9">
        <w:rPr>
          <w:lang w:val="en-US"/>
        </w:rPr>
        <w:t xml:space="preserve"> data</w:t>
      </w:r>
      <w:r w:rsidR="00CB6951">
        <w:rPr>
          <w:lang w:val="en-US"/>
        </w:rPr>
        <w:t xml:space="preserve">, </w:t>
      </w:r>
      <w:r w:rsidR="00A136D9" w:rsidRPr="00A136D9">
        <w:rPr>
          <w:lang w:val="en-US"/>
        </w:rPr>
        <w:t>S/D Plasma and FP should be considered equally effective in pediatric patients and can be used interchangeably</w:t>
      </w:r>
      <w:r w:rsidR="00831411">
        <w:rPr>
          <w:lang w:val="en-US"/>
        </w:rPr>
        <w:t>.</w:t>
      </w:r>
      <w:r w:rsidR="00A136D9" w:rsidRPr="00A136D9">
        <w:rPr>
          <w:lang w:val="en-US"/>
        </w:rPr>
        <w:t xml:space="preserve"> </w:t>
      </w:r>
      <w:r w:rsidR="00284A3E">
        <w:rPr>
          <w:lang w:val="en-US"/>
        </w:rPr>
        <w:t>Two</w:t>
      </w:r>
      <w:r w:rsidR="006C6DA5">
        <w:rPr>
          <w:lang w:val="en-US"/>
        </w:rPr>
        <w:t xml:space="preserve"> studies </w:t>
      </w:r>
      <w:r w:rsidR="00284A3E">
        <w:rPr>
          <w:lang w:val="en-US"/>
        </w:rPr>
        <w:t xml:space="preserve">which included 91 </w:t>
      </w:r>
      <w:r w:rsidR="00D53427">
        <w:rPr>
          <w:lang w:val="en-US"/>
        </w:rPr>
        <w:t xml:space="preserve">pediatric </w:t>
      </w:r>
      <w:r w:rsidR="00284A3E">
        <w:rPr>
          <w:lang w:val="en-US"/>
        </w:rPr>
        <w:t>patients receiving S/D Plasma did not identif</w:t>
      </w:r>
      <w:r w:rsidR="00D53427">
        <w:rPr>
          <w:lang w:val="en-US"/>
        </w:rPr>
        <w:t>y any safety concerns</w:t>
      </w:r>
      <w:r w:rsidR="003A2881">
        <w:rPr>
          <w:vertAlign w:val="superscript"/>
          <w:lang w:val="en-US"/>
        </w:rPr>
        <w:t>1</w:t>
      </w:r>
      <w:r w:rsidR="0000546B">
        <w:rPr>
          <w:vertAlign w:val="superscript"/>
          <w:lang w:val="en-US"/>
        </w:rPr>
        <w:t>2-13</w:t>
      </w:r>
      <w:r w:rsidR="00D53427">
        <w:rPr>
          <w:lang w:val="en-US"/>
        </w:rPr>
        <w:t xml:space="preserve">. A secondary analysis of </w:t>
      </w:r>
      <w:r w:rsidR="00EB027E">
        <w:rPr>
          <w:lang w:val="en-US"/>
        </w:rPr>
        <w:t xml:space="preserve">a large </w:t>
      </w:r>
      <w:r w:rsidR="00EB027E" w:rsidRPr="00DF5E34">
        <w:rPr>
          <w:lang w:val="en-US"/>
        </w:rPr>
        <w:t>multinational study identified</w:t>
      </w:r>
      <w:r w:rsidR="00EB027E">
        <w:rPr>
          <w:lang w:val="en-US"/>
        </w:rPr>
        <w:t xml:space="preserve"> 62 pediatric</w:t>
      </w:r>
      <w:r w:rsidR="00CE7811">
        <w:rPr>
          <w:lang w:val="en-US"/>
        </w:rPr>
        <w:t xml:space="preserve"> critical care</w:t>
      </w:r>
      <w:r w:rsidR="00EB027E">
        <w:rPr>
          <w:lang w:val="en-US"/>
        </w:rPr>
        <w:t xml:space="preserve"> patients who received S/D plasma</w:t>
      </w:r>
      <w:r w:rsidR="00284A2A">
        <w:rPr>
          <w:lang w:val="en-US"/>
        </w:rPr>
        <w:t>; there was no differe</w:t>
      </w:r>
      <w:r w:rsidR="00CE7811">
        <w:rPr>
          <w:lang w:val="en-US"/>
        </w:rPr>
        <w:t xml:space="preserve">nce in the reduction in the INR compared to patients receiving FP and </w:t>
      </w:r>
      <w:r w:rsidR="00C162C6">
        <w:rPr>
          <w:lang w:val="en-US"/>
        </w:rPr>
        <w:t>S/D plasma was associated with reduced mortality</w:t>
      </w:r>
      <w:r w:rsidR="00F16FEA">
        <w:rPr>
          <w:vertAlign w:val="superscript"/>
          <w:lang w:val="en-US"/>
        </w:rPr>
        <w:t>1</w:t>
      </w:r>
      <w:r w:rsidR="0000546B">
        <w:rPr>
          <w:vertAlign w:val="superscript"/>
          <w:lang w:val="en-US"/>
        </w:rPr>
        <w:t>4</w:t>
      </w:r>
      <w:r w:rsidR="00C162C6">
        <w:rPr>
          <w:lang w:val="en-US"/>
        </w:rPr>
        <w:t>.</w:t>
      </w:r>
      <w:r w:rsidR="005F3B77">
        <w:rPr>
          <w:lang w:val="en-US"/>
        </w:rPr>
        <w:t xml:space="preserve"> </w:t>
      </w:r>
      <w:r w:rsidR="00B1610E">
        <w:rPr>
          <w:lang w:val="en-US"/>
        </w:rPr>
        <w:t>Adoption</w:t>
      </w:r>
      <w:r w:rsidR="005F3B77">
        <w:rPr>
          <w:lang w:val="en-US"/>
        </w:rPr>
        <w:t xml:space="preserve"> of S/D plasma</w:t>
      </w:r>
      <w:r w:rsidR="00B1610E">
        <w:rPr>
          <w:lang w:val="en-US"/>
        </w:rPr>
        <w:t xml:space="preserve"> for routine use</w:t>
      </w:r>
      <w:r w:rsidR="005F3B77">
        <w:rPr>
          <w:lang w:val="en-US"/>
        </w:rPr>
        <w:t xml:space="preserve"> </w:t>
      </w:r>
      <w:r w:rsidR="001E78A2">
        <w:rPr>
          <w:lang w:val="en-US"/>
        </w:rPr>
        <w:t xml:space="preserve">in other jurisdictions </w:t>
      </w:r>
      <w:r w:rsidR="00B1610E">
        <w:rPr>
          <w:lang w:val="en-US"/>
        </w:rPr>
        <w:t>has also not identi</w:t>
      </w:r>
      <w:r w:rsidR="004C031B">
        <w:rPr>
          <w:lang w:val="en-US"/>
        </w:rPr>
        <w:t>fied any concerns with pediatric patients</w:t>
      </w:r>
      <w:r w:rsidR="004737A4">
        <w:rPr>
          <w:vertAlign w:val="superscript"/>
          <w:lang w:val="en-US"/>
        </w:rPr>
        <w:t>5</w:t>
      </w:r>
      <w:r w:rsidR="004C031B">
        <w:rPr>
          <w:lang w:val="en-US"/>
        </w:rPr>
        <w:t xml:space="preserve">. </w:t>
      </w:r>
    </w:p>
    <w:p w14:paraId="47F92E97" w14:textId="4802C18D" w:rsidR="00496F5D" w:rsidRDefault="00496F5D" w:rsidP="0001439F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Neonat</w:t>
      </w:r>
      <w:r w:rsidR="00BC322E">
        <w:rPr>
          <w:lang w:val="en-US"/>
        </w:rPr>
        <w:t xml:space="preserve">ology. </w:t>
      </w:r>
      <w:r w:rsidR="0007345B">
        <w:rPr>
          <w:lang w:val="en-US"/>
        </w:rPr>
        <w:t>Based on limited data</w:t>
      </w:r>
      <w:r w:rsidR="009E4655">
        <w:rPr>
          <w:lang w:val="en-US"/>
        </w:rPr>
        <w:t xml:space="preserve">, </w:t>
      </w:r>
      <w:r w:rsidR="0007345B" w:rsidRPr="0007345B">
        <w:rPr>
          <w:lang w:val="en-US"/>
        </w:rPr>
        <w:t>there is no reason to expect d</w:t>
      </w:r>
      <w:r w:rsidR="009E4655">
        <w:rPr>
          <w:lang w:val="en-US"/>
        </w:rPr>
        <w:t>ifferences in clinical</w:t>
      </w:r>
      <w:r w:rsidR="0007345B" w:rsidRPr="0007345B">
        <w:rPr>
          <w:lang w:val="en-US"/>
        </w:rPr>
        <w:t xml:space="preserve"> efficacy </w:t>
      </w:r>
      <w:r w:rsidR="009E4655">
        <w:rPr>
          <w:lang w:val="en-US"/>
        </w:rPr>
        <w:t xml:space="preserve">with S/D Plasma </w:t>
      </w:r>
      <w:r w:rsidR="0007345B" w:rsidRPr="0007345B">
        <w:rPr>
          <w:lang w:val="en-US"/>
        </w:rPr>
        <w:t>as compared to FP</w:t>
      </w:r>
      <w:r w:rsidR="001B6BE8">
        <w:rPr>
          <w:lang w:val="en-US"/>
        </w:rPr>
        <w:t xml:space="preserve">.  </w:t>
      </w:r>
      <w:r w:rsidR="00135E8D">
        <w:rPr>
          <w:lang w:val="en-US"/>
        </w:rPr>
        <w:t xml:space="preserve">A </w:t>
      </w:r>
      <w:r w:rsidR="00947E48">
        <w:rPr>
          <w:lang w:val="en-US"/>
        </w:rPr>
        <w:t>retrospective study</w:t>
      </w:r>
      <w:r w:rsidR="000E5A5F">
        <w:rPr>
          <w:lang w:val="en-US"/>
        </w:rPr>
        <w:t xml:space="preserve"> included 41 neonate patients</w:t>
      </w:r>
      <w:r w:rsidR="00135E8D">
        <w:rPr>
          <w:lang w:val="en-US"/>
        </w:rPr>
        <w:t xml:space="preserve"> reported </w:t>
      </w:r>
      <w:r w:rsidR="00644CDF">
        <w:rPr>
          <w:lang w:val="en-US"/>
        </w:rPr>
        <w:t>no clin</w:t>
      </w:r>
      <w:r w:rsidR="00F16FEA">
        <w:rPr>
          <w:lang w:val="en-US"/>
        </w:rPr>
        <w:t>i</w:t>
      </w:r>
      <w:r w:rsidR="00644CDF">
        <w:rPr>
          <w:lang w:val="en-US"/>
        </w:rPr>
        <w:t xml:space="preserve">cal or safety </w:t>
      </w:r>
      <w:r w:rsidR="000E5A5F">
        <w:rPr>
          <w:lang w:val="en-US"/>
        </w:rPr>
        <w:t>concerns with S/D P</w:t>
      </w:r>
      <w:r w:rsidR="00D6488C">
        <w:rPr>
          <w:lang w:val="en-US"/>
        </w:rPr>
        <w:t>lasma</w:t>
      </w:r>
      <w:r w:rsidR="00F16FEA">
        <w:rPr>
          <w:vertAlign w:val="superscript"/>
          <w:lang w:val="en-US"/>
        </w:rPr>
        <w:t>1</w:t>
      </w:r>
      <w:r w:rsidR="0000546B">
        <w:rPr>
          <w:vertAlign w:val="superscript"/>
          <w:lang w:val="en-US"/>
        </w:rPr>
        <w:t>5</w:t>
      </w:r>
      <w:r w:rsidR="001B6BE8" w:rsidRPr="001B6BE8">
        <w:rPr>
          <w:lang w:val="en-US"/>
        </w:rPr>
        <w:t>.</w:t>
      </w:r>
      <w:r w:rsidR="00E17052">
        <w:rPr>
          <w:lang w:val="en-US"/>
        </w:rPr>
        <w:t xml:space="preserve"> One </w:t>
      </w:r>
      <w:r w:rsidR="00B43849">
        <w:rPr>
          <w:lang w:val="en-US"/>
        </w:rPr>
        <w:t>non-published study reported no advers</w:t>
      </w:r>
      <w:r w:rsidR="008573B8">
        <w:rPr>
          <w:lang w:val="en-US"/>
        </w:rPr>
        <w:t xml:space="preserve">e </w:t>
      </w:r>
      <w:r w:rsidR="008573B8">
        <w:rPr>
          <w:lang w:val="en-US"/>
        </w:rPr>
        <w:lastRenderedPageBreak/>
        <w:t>events in 55 neonates receiving</w:t>
      </w:r>
      <w:r w:rsidR="003F2702">
        <w:rPr>
          <w:lang w:val="en-US"/>
        </w:rPr>
        <w:t xml:space="preserve"> S/D plasma</w:t>
      </w:r>
      <w:r w:rsidR="00AA5F43">
        <w:rPr>
          <w:vertAlign w:val="superscript"/>
          <w:lang w:val="en-US"/>
        </w:rPr>
        <w:t>1</w:t>
      </w:r>
      <w:r w:rsidR="0000546B">
        <w:rPr>
          <w:vertAlign w:val="superscript"/>
          <w:lang w:val="en-US"/>
        </w:rPr>
        <w:t>6</w:t>
      </w:r>
      <w:r w:rsidR="003F2702">
        <w:rPr>
          <w:lang w:val="en-US"/>
        </w:rPr>
        <w:t xml:space="preserve">. </w:t>
      </w:r>
      <w:r w:rsidR="00123EE7">
        <w:rPr>
          <w:lang w:val="en-US"/>
        </w:rPr>
        <w:t>The</w:t>
      </w:r>
      <w:r w:rsidR="00D1010E">
        <w:rPr>
          <w:lang w:val="en-US"/>
        </w:rPr>
        <w:t xml:space="preserve"> reduction in </w:t>
      </w:r>
      <w:r w:rsidR="004A6249">
        <w:rPr>
          <w:lang w:val="en-US"/>
        </w:rPr>
        <w:t xml:space="preserve">adverse transfusion reactions </w:t>
      </w:r>
      <w:r w:rsidR="000D5C3E">
        <w:rPr>
          <w:lang w:val="en-US"/>
        </w:rPr>
        <w:t xml:space="preserve">associated </w:t>
      </w:r>
      <w:r w:rsidR="004A6249">
        <w:rPr>
          <w:lang w:val="en-US"/>
        </w:rPr>
        <w:t>with S/D Plasma</w:t>
      </w:r>
      <w:r w:rsidR="007D3690">
        <w:rPr>
          <w:lang w:val="en-US"/>
        </w:rPr>
        <w:t xml:space="preserve"> </w:t>
      </w:r>
      <w:r w:rsidR="00123EE7">
        <w:rPr>
          <w:lang w:val="en-US"/>
        </w:rPr>
        <w:t>may be advantageous.</w:t>
      </w:r>
      <w:r w:rsidR="004633EA">
        <w:rPr>
          <w:lang w:val="en-US"/>
        </w:rPr>
        <w:t xml:space="preserve"> </w:t>
      </w:r>
    </w:p>
    <w:p w14:paraId="1C1AA958" w14:textId="16079031" w:rsidR="00172B96" w:rsidRDefault="008E379C" w:rsidP="0001439F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172B96">
        <w:rPr>
          <w:lang w:val="en-US"/>
        </w:rPr>
        <w:t xml:space="preserve">Pregnancy. </w:t>
      </w:r>
      <w:r w:rsidR="000A3ACF" w:rsidRPr="00172B96">
        <w:rPr>
          <w:lang w:val="en-US"/>
        </w:rPr>
        <w:t xml:space="preserve">Based on limited clinical data, SD Plasma and </w:t>
      </w:r>
      <w:r w:rsidR="007412AB" w:rsidRPr="00172B96">
        <w:rPr>
          <w:lang w:val="en-US"/>
        </w:rPr>
        <w:t>FP can be considered equally effective in pregnant patients</w:t>
      </w:r>
      <w:r w:rsidR="00C443C3" w:rsidRPr="00172B96">
        <w:rPr>
          <w:lang w:val="en-US"/>
        </w:rPr>
        <w:t xml:space="preserve"> and can be used interchangeably.  </w:t>
      </w:r>
      <w:r w:rsidR="0040468F" w:rsidRPr="00172B96">
        <w:rPr>
          <w:lang w:val="en-US"/>
        </w:rPr>
        <w:t xml:space="preserve">A retrospective study including </w:t>
      </w:r>
      <w:r w:rsidR="005D0B4D" w:rsidRPr="00172B96">
        <w:rPr>
          <w:lang w:val="en-US"/>
        </w:rPr>
        <w:t xml:space="preserve">37 obstetrical patients </w:t>
      </w:r>
      <w:r w:rsidR="00961A0A" w:rsidRPr="00172B96">
        <w:rPr>
          <w:lang w:val="en-US"/>
        </w:rPr>
        <w:t>reported no</w:t>
      </w:r>
      <w:r w:rsidR="0065678B" w:rsidRPr="00172B96">
        <w:rPr>
          <w:lang w:val="en-US"/>
        </w:rPr>
        <w:t xml:space="preserve"> clinical or safety concerns</w:t>
      </w:r>
      <w:r w:rsidR="00EB11FE">
        <w:rPr>
          <w:vertAlign w:val="superscript"/>
          <w:lang w:val="en-US"/>
        </w:rPr>
        <w:t>1</w:t>
      </w:r>
      <w:r w:rsidR="0000546B">
        <w:rPr>
          <w:vertAlign w:val="superscript"/>
          <w:lang w:val="en-US"/>
        </w:rPr>
        <w:t>6</w:t>
      </w:r>
      <w:r w:rsidR="0065678B" w:rsidRPr="00172B96">
        <w:rPr>
          <w:lang w:val="en-US"/>
        </w:rPr>
        <w:t xml:space="preserve">.  </w:t>
      </w:r>
      <w:r w:rsidR="00172B96">
        <w:rPr>
          <w:lang w:val="en-US"/>
        </w:rPr>
        <w:t>Adoption of S/D plasma for routine u</w:t>
      </w:r>
      <w:r w:rsidR="00B55AC5">
        <w:rPr>
          <w:lang w:val="en-US"/>
        </w:rPr>
        <w:t xml:space="preserve">se including </w:t>
      </w:r>
      <w:r w:rsidR="005246D2">
        <w:rPr>
          <w:lang w:val="en-US"/>
        </w:rPr>
        <w:t xml:space="preserve">obstetric </w:t>
      </w:r>
      <w:r w:rsidR="00E7184B">
        <w:rPr>
          <w:lang w:val="en-US"/>
        </w:rPr>
        <w:t>and g</w:t>
      </w:r>
      <w:r w:rsidR="000D5C3E">
        <w:rPr>
          <w:lang w:val="en-US"/>
        </w:rPr>
        <w:t>yn</w:t>
      </w:r>
      <w:r w:rsidR="00E7184B">
        <w:rPr>
          <w:lang w:val="en-US"/>
        </w:rPr>
        <w:t xml:space="preserve">ecology patients </w:t>
      </w:r>
      <w:r w:rsidR="00172B96">
        <w:rPr>
          <w:lang w:val="en-US"/>
        </w:rPr>
        <w:t xml:space="preserve">also </w:t>
      </w:r>
      <w:r w:rsidR="000D5C3E">
        <w:rPr>
          <w:lang w:val="en-US"/>
        </w:rPr>
        <w:t xml:space="preserve">did </w:t>
      </w:r>
      <w:r w:rsidR="00172B96">
        <w:rPr>
          <w:lang w:val="en-US"/>
        </w:rPr>
        <w:t>not identif</w:t>
      </w:r>
      <w:r w:rsidR="000D5C3E">
        <w:rPr>
          <w:lang w:val="en-US"/>
        </w:rPr>
        <w:t>y</w:t>
      </w:r>
      <w:r w:rsidR="00172B96">
        <w:rPr>
          <w:lang w:val="en-US"/>
        </w:rPr>
        <w:t xml:space="preserve"> any </w:t>
      </w:r>
      <w:r w:rsidR="00163E5E">
        <w:rPr>
          <w:lang w:val="en-US"/>
        </w:rPr>
        <w:t xml:space="preserve">clinical </w:t>
      </w:r>
      <w:r w:rsidR="00172B96">
        <w:rPr>
          <w:lang w:val="en-US"/>
        </w:rPr>
        <w:t xml:space="preserve">concerns </w:t>
      </w:r>
      <w:r w:rsidR="000D5C3E">
        <w:rPr>
          <w:lang w:val="en-US"/>
        </w:rPr>
        <w:t>in gy</w:t>
      </w:r>
      <w:r w:rsidR="00163E5E">
        <w:rPr>
          <w:lang w:val="en-US"/>
        </w:rPr>
        <w:t>necology or obstetrical</w:t>
      </w:r>
      <w:r w:rsidR="00172B96">
        <w:rPr>
          <w:lang w:val="en-US"/>
        </w:rPr>
        <w:t xml:space="preserve"> patients</w:t>
      </w:r>
      <w:r w:rsidR="009345BD">
        <w:rPr>
          <w:vertAlign w:val="superscript"/>
          <w:lang w:val="en-US"/>
        </w:rPr>
        <w:t>5</w:t>
      </w:r>
      <w:r w:rsidR="00172B96">
        <w:rPr>
          <w:lang w:val="en-US"/>
        </w:rPr>
        <w:t xml:space="preserve">. </w:t>
      </w:r>
    </w:p>
    <w:p w14:paraId="4B88219B" w14:textId="032DB709" w:rsidR="006D1AD9" w:rsidRPr="00172B96" w:rsidRDefault="006C6DA5" w:rsidP="0001439F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172B96">
        <w:rPr>
          <w:lang w:val="en-US"/>
        </w:rPr>
        <w:t xml:space="preserve">Geriatrics. </w:t>
      </w:r>
      <w:r w:rsidR="00DC668B" w:rsidRPr="00172B96">
        <w:rPr>
          <w:lang w:val="en-US"/>
        </w:rPr>
        <w:t xml:space="preserve">S/D plasma </w:t>
      </w:r>
      <w:r w:rsidR="0089306B" w:rsidRPr="00172B96">
        <w:rPr>
          <w:lang w:val="en-US"/>
        </w:rPr>
        <w:t xml:space="preserve">and FP Plasma should be considered </w:t>
      </w:r>
      <w:r w:rsidR="00B66FC0" w:rsidRPr="00172B96">
        <w:rPr>
          <w:lang w:val="en-US"/>
        </w:rPr>
        <w:t xml:space="preserve">equally effective in geriatric patients and </w:t>
      </w:r>
      <w:r w:rsidR="00DC668B" w:rsidRPr="00172B96">
        <w:rPr>
          <w:lang w:val="en-US"/>
        </w:rPr>
        <w:t>can be used interchangeably with FP.</w:t>
      </w:r>
      <w:r w:rsidR="00EB39FC" w:rsidRPr="00172B96">
        <w:rPr>
          <w:lang w:val="en-US"/>
        </w:rPr>
        <w:t xml:space="preserve"> </w:t>
      </w:r>
      <w:r w:rsidR="000150BC" w:rsidRPr="00172B96">
        <w:rPr>
          <w:lang w:val="en-US"/>
        </w:rPr>
        <w:t xml:space="preserve">While there are no studies of </w:t>
      </w:r>
      <w:r w:rsidR="00D3385F" w:rsidRPr="00172B96">
        <w:rPr>
          <w:lang w:val="en-US"/>
        </w:rPr>
        <w:t xml:space="preserve">evaluating </w:t>
      </w:r>
      <w:r w:rsidR="000150BC" w:rsidRPr="00172B96">
        <w:rPr>
          <w:lang w:val="en-US"/>
        </w:rPr>
        <w:t>S/D plasma</w:t>
      </w:r>
      <w:r w:rsidR="001F0132" w:rsidRPr="00172B96">
        <w:rPr>
          <w:lang w:val="en-US"/>
        </w:rPr>
        <w:t xml:space="preserve"> </w:t>
      </w:r>
      <w:r w:rsidR="00D3385F" w:rsidRPr="00DF5E34">
        <w:rPr>
          <w:lang w:val="en-US"/>
        </w:rPr>
        <w:t xml:space="preserve">specifically </w:t>
      </w:r>
      <w:r w:rsidR="001F0132" w:rsidRPr="00DF5E34">
        <w:rPr>
          <w:lang w:val="en-US"/>
        </w:rPr>
        <w:t xml:space="preserve">in </w:t>
      </w:r>
      <w:r w:rsidR="005E3AB8" w:rsidRPr="00DF5E34">
        <w:rPr>
          <w:lang w:val="en-US"/>
        </w:rPr>
        <w:t>geriatric patients</w:t>
      </w:r>
      <w:r w:rsidR="00E2091E" w:rsidRPr="00172B96">
        <w:rPr>
          <w:lang w:val="en-US"/>
        </w:rPr>
        <w:t xml:space="preserve">, there </w:t>
      </w:r>
      <w:r w:rsidR="00415F2E" w:rsidRPr="00172B96">
        <w:rPr>
          <w:lang w:val="en-US"/>
        </w:rPr>
        <w:t>are</w:t>
      </w:r>
      <w:r w:rsidR="00E2091E" w:rsidRPr="00172B96">
        <w:rPr>
          <w:lang w:val="en-US"/>
        </w:rPr>
        <w:t xml:space="preserve"> no physiologic reason</w:t>
      </w:r>
      <w:r w:rsidR="00415F2E" w:rsidRPr="00172B96">
        <w:rPr>
          <w:lang w:val="en-US"/>
        </w:rPr>
        <w:t>s</w:t>
      </w:r>
      <w:r w:rsidR="00E2091E" w:rsidRPr="00172B96">
        <w:rPr>
          <w:lang w:val="en-US"/>
        </w:rPr>
        <w:t xml:space="preserve"> that S/D plasma </w:t>
      </w:r>
      <w:r w:rsidR="00B7348B" w:rsidRPr="00172B96">
        <w:rPr>
          <w:lang w:val="en-US"/>
        </w:rPr>
        <w:t>would be less effective or have increased adverse effects in geriatric patients</w:t>
      </w:r>
      <w:r w:rsidR="0050106C" w:rsidRPr="00172B96">
        <w:rPr>
          <w:lang w:val="en-US"/>
        </w:rPr>
        <w:t xml:space="preserve">. </w:t>
      </w:r>
      <w:r w:rsidR="00FC0270" w:rsidRPr="00172B96">
        <w:rPr>
          <w:lang w:val="en-US"/>
        </w:rPr>
        <w:t>The reduction in adverse events</w:t>
      </w:r>
      <w:r w:rsidR="00163AB1" w:rsidRPr="00172B96">
        <w:rPr>
          <w:lang w:val="en-US"/>
        </w:rPr>
        <w:t xml:space="preserve"> </w:t>
      </w:r>
      <w:r w:rsidR="009D5A54">
        <w:rPr>
          <w:lang w:val="en-US"/>
        </w:rPr>
        <w:t xml:space="preserve">associated </w:t>
      </w:r>
      <w:r w:rsidR="00163AB1" w:rsidRPr="00172B96">
        <w:rPr>
          <w:lang w:val="en-US"/>
        </w:rPr>
        <w:t>with S/D</w:t>
      </w:r>
      <w:r w:rsidR="009D5A54">
        <w:rPr>
          <w:lang w:val="en-US"/>
        </w:rPr>
        <w:t xml:space="preserve"> Plasma</w:t>
      </w:r>
      <w:r w:rsidR="00FC0270" w:rsidRPr="00172B96">
        <w:rPr>
          <w:lang w:val="en-US"/>
        </w:rPr>
        <w:t xml:space="preserve"> may be considered advantageous in th</w:t>
      </w:r>
      <w:r w:rsidR="00163AB1" w:rsidRPr="00172B96">
        <w:rPr>
          <w:lang w:val="en-US"/>
        </w:rPr>
        <w:t>is</w:t>
      </w:r>
      <w:r w:rsidR="00FC0270" w:rsidRPr="00172B96">
        <w:rPr>
          <w:lang w:val="en-US"/>
        </w:rPr>
        <w:t xml:space="preserve"> patient group who </w:t>
      </w:r>
      <w:r w:rsidR="00163AB1" w:rsidRPr="00172B96">
        <w:rPr>
          <w:lang w:val="en-US"/>
        </w:rPr>
        <w:t xml:space="preserve">would be at greater risk </w:t>
      </w:r>
      <w:r w:rsidR="006A6D9D" w:rsidRPr="00172B96">
        <w:rPr>
          <w:lang w:val="en-US"/>
        </w:rPr>
        <w:t>on adverse outcomes associated with a transfusion reaction.</w:t>
      </w:r>
      <w:r w:rsidR="0050106C" w:rsidRPr="00172B96">
        <w:rPr>
          <w:lang w:val="en-US"/>
        </w:rPr>
        <w:t xml:space="preserve"> </w:t>
      </w:r>
    </w:p>
    <w:p w14:paraId="4EB479EF" w14:textId="52988E1C" w:rsidR="008946EC" w:rsidRPr="00D253D7" w:rsidRDefault="00754A75" w:rsidP="0001439F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Liver transplantation / Liver disease.  </w:t>
      </w:r>
      <w:r w:rsidR="000C101C">
        <w:rPr>
          <w:lang w:val="en-US"/>
        </w:rPr>
        <w:t xml:space="preserve">S/D Plasma and FP can be considered equally effective in patients </w:t>
      </w:r>
      <w:r w:rsidR="00FD507B">
        <w:rPr>
          <w:lang w:val="en-US"/>
        </w:rPr>
        <w:t>undergoing liver tran</w:t>
      </w:r>
      <w:r w:rsidR="00D253D7">
        <w:rPr>
          <w:lang w:val="en-US"/>
        </w:rPr>
        <w:t>splantation or coagulopathy associated with liver disease</w:t>
      </w:r>
      <w:r w:rsidR="000C101C">
        <w:rPr>
          <w:lang w:val="en-US"/>
        </w:rPr>
        <w:t xml:space="preserve"> and can be used interchangeably</w:t>
      </w:r>
      <w:r w:rsidR="00FD507B">
        <w:rPr>
          <w:lang w:val="en-US"/>
        </w:rPr>
        <w:t xml:space="preserve">. </w:t>
      </w:r>
      <w:r w:rsidR="002D5434" w:rsidRPr="00FD507B">
        <w:rPr>
          <w:lang w:val="en-US"/>
        </w:rPr>
        <w:t>Three</w:t>
      </w:r>
      <w:r w:rsidR="00353FAF" w:rsidRPr="00FD507B">
        <w:rPr>
          <w:lang w:val="en-US"/>
        </w:rPr>
        <w:t xml:space="preserve"> randomized controlled trial</w:t>
      </w:r>
      <w:r w:rsidR="00C4183B" w:rsidRPr="00FD507B">
        <w:rPr>
          <w:lang w:val="en-US"/>
        </w:rPr>
        <w:t xml:space="preserve"> studies </w:t>
      </w:r>
      <w:r w:rsidR="00353FAF" w:rsidRPr="00FD507B">
        <w:rPr>
          <w:lang w:val="en-US"/>
        </w:rPr>
        <w:t>(n=</w:t>
      </w:r>
      <w:r w:rsidR="00EE360D" w:rsidRPr="00FD507B">
        <w:rPr>
          <w:lang w:val="en-US"/>
        </w:rPr>
        <w:t xml:space="preserve">115) evaluated </w:t>
      </w:r>
      <w:r w:rsidR="005B0678" w:rsidRPr="00FD507B">
        <w:rPr>
          <w:lang w:val="en-US"/>
        </w:rPr>
        <w:t xml:space="preserve">S/D </w:t>
      </w:r>
      <w:r w:rsidR="004F7681" w:rsidRPr="00FD507B">
        <w:rPr>
          <w:lang w:val="en-US"/>
        </w:rPr>
        <w:t>Plasma in patients with coagulopathy associated with liver disease or liver transplant pa</w:t>
      </w:r>
      <w:r w:rsidR="004F7681" w:rsidRPr="00D253D7">
        <w:rPr>
          <w:lang w:val="en-US"/>
        </w:rPr>
        <w:t>tients</w:t>
      </w:r>
      <w:r w:rsidR="00FC15CF">
        <w:rPr>
          <w:vertAlign w:val="superscript"/>
          <w:lang w:val="en-US"/>
        </w:rPr>
        <w:t>1</w:t>
      </w:r>
      <w:r w:rsidR="0000546B">
        <w:rPr>
          <w:vertAlign w:val="superscript"/>
          <w:lang w:val="en-US"/>
        </w:rPr>
        <w:t>7</w:t>
      </w:r>
      <w:r w:rsidR="00FC15CF">
        <w:rPr>
          <w:vertAlign w:val="superscript"/>
          <w:lang w:val="en-US"/>
        </w:rPr>
        <w:t>-1</w:t>
      </w:r>
      <w:r w:rsidR="0000546B">
        <w:rPr>
          <w:vertAlign w:val="superscript"/>
          <w:lang w:val="en-US"/>
        </w:rPr>
        <w:t>9</w:t>
      </w:r>
      <w:r w:rsidR="004F7681" w:rsidRPr="00D253D7">
        <w:rPr>
          <w:lang w:val="en-US"/>
        </w:rPr>
        <w:t xml:space="preserve">. There </w:t>
      </w:r>
      <w:r w:rsidR="0091522E" w:rsidRPr="00D253D7">
        <w:rPr>
          <w:lang w:val="en-US"/>
        </w:rPr>
        <w:t xml:space="preserve">were no differences in clinical efficacy or adverse events. </w:t>
      </w:r>
    </w:p>
    <w:p w14:paraId="61EBE11A" w14:textId="77BD16BF" w:rsidR="004879F5" w:rsidRPr="0050106C" w:rsidRDefault="004879F5" w:rsidP="0001439F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TTP. </w:t>
      </w:r>
      <w:r w:rsidR="00F6166A">
        <w:rPr>
          <w:lang w:val="en-US"/>
        </w:rPr>
        <w:t>Cl</w:t>
      </w:r>
      <w:r w:rsidR="00BB0D0B">
        <w:rPr>
          <w:lang w:val="en-US"/>
        </w:rPr>
        <w:t>i</w:t>
      </w:r>
      <w:r w:rsidR="00F6166A">
        <w:rPr>
          <w:lang w:val="en-US"/>
        </w:rPr>
        <w:t xml:space="preserve">nical studies have shown that </w:t>
      </w:r>
      <w:r w:rsidR="00BB0D0B">
        <w:rPr>
          <w:lang w:val="en-US"/>
        </w:rPr>
        <w:t xml:space="preserve">S/D plasma is effective </w:t>
      </w:r>
      <w:r w:rsidR="00742271">
        <w:rPr>
          <w:lang w:val="en-US"/>
        </w:rPr>
        <w:t>and safe</w:t>
      </w:r>
      <w:r w:rsidR="00BB3EDD">
        <w:rPr>
          <w:lang w:val="en-US"/>
        </w:rPr>
        <w:t xml:space="preserve"> </w:t>
      </w:r>
      <w:r w:rsidR="00BB0D0B">
        <w:rPr>
          <w:lang w:val="en-US"/>
        </w:rPr>
        <w:t xml:space="preserve">when used </w:t>
      </w:r>
      <w:r w:rsidR="00BB3EDD">
        <w:rPr>
          <w:lang w:val="en-US"/>
        </w:rPr>
        <w:t xml:space="preserve">as part of </w:t>
      </w:r>
      <w:r w:rsidR="00BB0D0B">
        <w:rPr>
          <w:lang w:val="en-US"/>
        </w:rPr>
        <w:t>plasmapheresis</w:t>
      </w:r>
      <w:r w:rsidR="00BB3EDD">
        <w:rPr>
          <w:lang w:val="en-US"/>
        </w:rPr>
        <w:t xml:space="preserve"> treatments</w:t>
      </w:r>
      <w:r w:rsidR="00BB0D0B">
        <w:rPr>
          <w:lang w:val="en-US"/>
        </w:rPr>
        <w:t xml:space="preserve"> in patients with TTP</w:t>
      </w:r>
      <w:r w:rsidR="0000546B">
        <w:rPr>
          <w:vertAlign w:val="superscript"/>
          <w:lang w:val="en-US"/>
        </w:rPr>
        <w:t>20-22</w:t>
      </w:r>
      <w:r w:rsidR="00BB0D0B">
        <w:rPr>
          <w:lang w:val="en-US"/>
        </w:rPr>
        <w:t xml:space="preserve">. No clinical studies have compared the effectiveness </w:t>
      </w:r>
      <w:r w:rsidR="00FF5F33">
        <w:rPr>
          <w:lang w:val="en-US"/>
        </w:rPr>
        <w:t xml:space="preserve">of S/D plasma </w:t>
      </w:r>
      <w:r w:rsidR="00742271">
        <w:rPr>
          <w:lang w:val="en-US"/>
        </w:rPr>
        <w:t xml:space="preserve">to FP or cryosupernatant. </w:t>
      </w:r>
      <w:r w:rsidR="00F7281A">
        <w:rPr>
          <w:lang w:val="en-US"/>
        </w:rPr>
        <w:t>In the 2 clinical trials evaluating c</w:t>
      </w:r>
      <w:r w:rsidR="00FF5F33">
        <w:rPr>
          <w:lang w:val="en-US"/>
        </w:rPr>
        <w:t>ryosupernatant</w:t>
      </w:r>
      <w:r w:rsidR="000F4887">
        <w:rPr>
          <w:lang w:val="en-US"/>
        </w:rPr>
        <w:t xml:space="preserve"> in TTP patients</w:t>
      </w:r>
      <w:r w:rsidR="00F7281A">
        <w:rPr>
          <w:lang w:val="en-US"/>
        </w:rPr>
        <w:t xml:space="preserve">, there was no </w:t>
      </w:r>
      <w:r w:rsidR="000F4887">
        <w:rPr>
          <w:lang w:val="en-US"/>
        </w:rPr>
        <w:t>evidence of improved outcomes as compa</w:t>
      </w:r>
      <w:r w:rsidR="00F70BB6">
        <w:rPr>
          <w:lang w:val="en-US"/>
        </w:rPr>
        <w:t>r</w:t>
      </w:r>
      <w:r w:rsidR="000F4887">
        <w:rPr>
          <w:lang w:val="en-US"/>
        </w:rPr>
        <w:t>ed to FP</w:t>
      </w:r>
      <w:r w:rsidR="00E21BEF">
        <w:rPr>
          <w:vertAlign w:val="superscript"/>
          <w:lang w:val="en-US"/>
        </w:rPr>
        <w:t>2</w:t>
      </w:r>
      <w:r w:rsidR="0000546B">
        <w:rPr>
          <w:vertAlign w:val="superscript"/>
          <w:lang w:val="en-US"/>
        </w:rPr>
        <w:t>3-25</w:t>
      </w:r>
      <w:r w:rsidR="00F70BB6">
        <w:rPr>
          <w:lang w:val="en-US"/>
        </w:rPr>
        <w:t xml:space="preserve">. The </w:t>
      </w:r>
      <w:r w:rsidR="006F3A12">
        <w:rPr>
          <w:lang w:val="en-US"/>
        </w:rPr>
        <w:t>reduction in adverse events and lower risk of transfu</w:t>
      </w:r>
      <w:r w:rsidR="005703ED">
        <w:rPr>
          <w:lang w:val="en-US"/>
        </w:rPr>
        <w:t xml:space="preserve">sion transmitted infections with S/D plasma may be considered advantageous in patients receiving large volume plasma transfusions </w:t>
      </w:r>
      <w:r w:rsidR="00F802AA">
        <w:rPr>
          <w:lang w:val="en-US"/>
        </w:rPr>
        <w:t xml:space="preserve">as part </w:t>
      </w:r>
      <w:r w:rsidR="00F802AA" w:rsidRPr="00DF5E34">
        <w:rPr>
          <w:lang w:val="en-US"/>
        </w:rPr>
        <w:t>of plasmaph</w:t>
      </w:r>
      <w:r w:rsidR="00C771E4" w:rsidRPr="00DF5E34">
        <w:rPr>
          <w:lang w:val="en-US"/>
        </w:rPr>
        <w:t>e</w:t>
      </w:r>
      <w:r w:rsidR="00F802AA" w:rsidRPr="00DF5E34">
        <w:rPr>
          <w:lang w:val="en-US"/>
        </w:rPr>
        <w:t>resis</w:t>
      </w:r>
      <w:r w:rsidR="00F7281A">
        <w:rPr>
          <w:lang w:val="en-US"/>
        </w:rPr>
        <w:t xml:space="preserve"> </w:t>
      </w:r>
      <w:r w:rsidR="00F802AA">
        <w:rPr>
          <w:lang w:val="en-US"/>
        </w:rPr>
        <w:t>treatment.</w:t>
      </w:r>
    </w:p>
    <w:p w14:paraId="6A354D2B" w14:textId="77777777" w:rsidR="00AE6F65" w:rsidRDefault="00AE6F65" w:rsidP="006D1AD9">
      <w:pPr>
        <w:rPr>
          <w:lang w:val="en-US"/>
        </w:rPr>
      </w:pPr>
    </w:p>
    <w:p w14:paraId="3E3F7DAB" w14:textId="7E47C08B" w:rsidR="006D1AD9" w:rsidRPr="008747F2" w:rsidRDefault="008747F2" w:rsidP="006D1AD9">
      <w:pPr>
        <w:rPr>
          <w:b/>
          <w:bCs/>
          <w:color w:val="FF0000"/>
          <w:sz w:val="24"/>
          <w:szCs w:val="24"/>
          <w:lang w:val="en-US"/>
        </w:rPr>
      </w:pPr>
      <w:r w:rsidRPr="008747F2">
        <w:rPr>
          <w:b/>
          <w:bCs/>
          <w:color w:val="FF0000"/>
          <w:sz w:val="24"/>
          <w:szCs w:val="24"/>
          <w:lang w:val="en-US"/>
        </w:rPr>
        <w:t>DOSING CONSIDERATIONS:</w:t>
      </w:r>
    </w:p>
    <w:p w14:paraId="684E7E2A" w14:textId="693B60A6" w:rsidR="00101C8D" w:rsidRPr="002F7495" w:rsidRDefault="00A366D1" w:rsidP="0001439F">
      <w:pPr>
        <w:jc w:val="both"/>
        <w:rPr>
          <w:lang w:val="en-US"/>
        </w:rPr>
      </w:pPr>
      <w:r>
        <w:rPr>
          <w:lang w:val="en-US"/>
        </w:rPr>
        <w:t>An important factor in the dosing of S/D Plasma is the smaller unit volume</w:t>
      </w:r>
      <w:r w:rsidR="00CD6A63">
        <w:rPr>
          <w:lang w:val="en-US"/>
        </w:rPr>
        <w:t>s.</w:t>
      </w:r>
      <w:r w:rsidR="00DF5E34">
        <w:rPr>
          <w:lang w:val="en-US"/>
        </w:rPr>
        <w:t xml:space="preserve"> </w:t>
      </w:r>
      <w:r w:rsidR="00FB0E67">
        <w:rPr>
          <w:lang w:val="en-US"/>
        </w:rPr>
        <w:t xml:space="preserve">FP </w:t>
      </w:r>
      <w:r w:rsidR="001E3067">
        <w:rPr>
          <w:lang w:val="en-US"/>
        </w:rPr>
        <w:t>units</w:t>
      </w:r>
      <w:r w:rsidR="0069318C">
        <w:rPr>
          <w:lang w:val="en-US"/>
        </w:rPr>
        <w:t xml:space="preserve">, which </w:t>
      </w:r>
      <w:r w:rsidR="001E3067">
        <w:rPr>
          <w:lang w:val="en-US"/>
        </w:rPr>
        <w:t>are made</w:t>
      </w:r>
      <w:r w:rsidR="00FB0E67">
        <w:rPr>
          <w:lang w:val="en-US"/>
        </w:rPr>
        <w:t xml:space="preserve"> </w:t>
      </w:r>
      <w:r w:rsidR="00FB0E67" w:rsidRPr="002F7495">
        <w:rPr>
          <w:lang w:val="en-US"/>
        </w:rPr>
        <w:t xml:space="preserve">from individual </w:t>
      </w:r>
      <w:r w:rsidR="00D12315" w:rsidRPr="002F7495">
        <w:rPr>
          <w:lang w:val="en-US"/>
        </w:rPr>
        <w:t>blood donations</w:t>
      </w:r>
      <w:r w:rsidR="0069318C" w:rsidRPr="002F7495">
        <w:rPr>
          <w:lang w:val="en-US"/>
        </w:rPr>
        <w:t>, vary in size</w:t>
      </w:r>
      <w:r w:rsidR="006B5993" w:rsidRPr="002F7495">
        <w:rPr>
          <w:lang w:val="en-US"/>
        </w:rPr>
        <w:t xml:space="preserve"> with</w:t>
      </w:r>
      <w:r w:rsidR="00156498" w:rsidRPr="002F7495">
        <w:rPr>
          <w:lang w:val="en-US"/>
        </w:rPr>
        <w:t xml:space="preserve"> an</w:t>
      </w:r>
      <w:r w:rsidR="00D12315" w:rsidRPr="002F7495">
        <w:rPr>
          <w:lang w:val="en-US"/>
        </w:rPr>
        <w:t xml:space="preserve"> average volume of 2</w:t>
      </w:r>
      <w:r w:rsidR="00760D27" w:rsidRPr="002F7495">
        <w:rPr>
          <w:lang w:val="en-US"/>
        </w:rPr>
        <w:t>89</w:t>
      </w:r>
      <w:r w:rsidR="00D12315" w:rsidRPr="002F7495">
        <w:rPr>
          <w:lang w:val="en-US"/>
        </w:rPr>
        <w:t xml:space="preserve"> mLs</w:t>
      </w:r>
      <w:r w:rsidR="001E3067" w:rsidRPr="002F7495">
        <w:rPr>
          <w:lang w:val="en-US"/>
        </w:rPr>
        <w:t xml:space="preserve"> (± </w:t>
      </w:r>
      <w:r w:rsidR="000A3DE7" w:rsidRPr="002F7495">
        <w:rPr>
          <w:lang w:val="en-US"/>
        </w:rPr>
        <w:t xml:space="preserve">16 </w:t>
      </w:r>
      <w:r w:rsidR="001E3067" w:rsidRPr="002F7495">
        <w:rPr>
          <w:lang w:val="en-US"/>
        </w:rPr>
        <w:t>mLs)</w:t>
      </w:r>
      <w:r w:rsidR="00056768" w:rsidRPr="002F7495">
        <w:rPr>
          <w:vertAlign w:val="superscript"/>
          <w:lang w:val="en-US"/>
        </w:rPr>
        <w:t>2</w:t>
      </w:r>
      <w:r w:rsidR="0000546B">
        <w:rPr>
          <w:vertAlign w:val="superscript"/>
          <w:lang w:val="en-US"/>
        </w:rPr>
        <w:t>5</w:t>
      </w:r>
      <w:r w:rsidR="00CD6A63" w:rsidRPr="002F7495">
        <w:rPr>
          <w:lang w:val="en-US"/>
        </w:rPr>
        <w:t xml:space="preserve"> and have more variability in coagulation factor levels as each unit is from an individual donor.</w:t>
      </w:r>
      <w:r w:rsidR="006B5993" w:rsidRPr="002F7495">
        <w:rPr>
          <w:lang w:val="en-US"/>
        </w:rPr>
        <w:t xml:space="preserve"> </w:t>
      </w:r>
      <w:r w:rsidR="00595F59" w:rsidRPr="002F7495">
        <w:rPr>
          <w:lang w:val="en-US"/>
        </w:rPr>
        <w:t>Overall, t</w:t>
      </w:r>
      <w:r w:rsidR="00223AF6" w:rsidRPr="002F7495">
        <w:rPr>
          <w:lang w:val="en-US"/>
        </w:rPr>
        <w:t xml:space="preserve">he </w:t>
      </w:r>
      <w:r w:rsidR="00595F59" w:rsidRPr="002F7495">
        <w:rPr>
          <w:lang w:val="en-US"/>
        </w:rPr>
        <w:t xml:space="preserve">mean </w:t>
      </w:r>
      <w:r w:rsidR="00223AF6" w:rsidRPr="002F7495">
        <w:rPr>
          <w:lang w:val="en-US"/>
        </w:rPr>
        <w:t xml:space="preserve">concentration of coagulation factors in </w:t>
      </w:r>
      <w:r w:rsidR="002D7DEE" w:rsidRPr="002F7495">
        <w:rPr>
          <w:lang w:val="en-US"/>
        </w:rPr>
        <w:t>S/D plasma and FP are similar</w:t>
      </w:r>
      <w:r w:rsidR="00337452" w:rsidRPr="002F7495">
        <w:rPr>
          <w:vertAlign w:val="superscript"/>
          <w:lang w:val="en-US"/>
        </w:rPr>
        <w:t>2</w:t>
      </w:r>
      <w:r w:rsidR="009345BD">
        <w:rPr>
          <w:vertAlign w:val="superscript"/>
          <w:lang w:val="en-US"/>
        </w:rPr>
        <w:t>5</w:t>
      </w:r>
      <w:r w:rsidR="00C62095" w:rsidRPr="002F7495">
        <w:rPr>
          <w:lang w:val="en-US"/>
        </w:rPr>
        <w:t xml:space="preserve">, but as </w:t>
      </w:r>
      <w:r w:rsidR="00B77EBC" w:rsidRPr="002F7495">
        <w:rPr>
          <w:lang w:val="en-US"/>
        </w:rPr>
        <w:t>a pooled blood product, t</w:t>
      </w:r>
      <w:r w:rsidR="006B5993" w:rsidRPr="002F7495">
        <w:rPr>
          <w:lang w:val="en-US"/>
        </w:rPr>
        <w:t>he concentration</w:t>
      </w:r>
      <w:r w:rsidR="00C62095" w:rsidRPr="002F7495">
        <w:rPr>
          <w:lang w:val="en-US"/>
        </w:rPr>
        <w:t>s</w:t>
      </w:r>
      <w:r w:rsidR="006B5993" w:rsidRPr="002F7495">
        <w:rPr>
          <w:lang w:val="en-US"/>
        </w:rPr>
        <w:t xml:space="preserve"> </w:t>
      </w:r>
      <w:r w:rsidR="00C62095" w:rsidRPr="002F7495">
        <w:rPr>
          <w:lang w:val="en-US"/>
        </w:rPr>
        <w:t>are mor</w:t>
      </w:r>
      <w:r w:rsidR="00EA0480" w:rsidRPr="002F7495">
        <w:rPr>
          <w:lang w:val="en-US"/>
        </w:rPr>
        <w:t>e uniform in S</w:t>
      </w:r>
      <w:r w:rsidR="00B77EBC" w:rsidRPr="002F7495">
        <w:rPr>
          <w:lang w:val="en-US"/>
        </w:rPr>
        <w:t>/D Plasma</w:t>
      </w:r>
      <w:r w:rsidR="00C548FE" w:rsidRPr="002F7495">
        <w:rPr>
          <w:lang w:val="en-US"/>
        </w:rPr>
        <w:t>.</w:t>
      </w:r>
    </w:p>
    <w:p w14:paraId="65865710" w14:textId="2AB4219B" w:rsidR="00C548FE" w:rsidRPr="002F7495" w:rsidRDefault="004E7D44" w:rsidP="0001439F">
      <w:pPr>
        <w:jc w:val="both"/>
        <w:rPr>
          <w:lang w:val="en-US"/>
        </w:rPr>
      </w:pPr>
      <w:r w:rsidRPr="002F7495">
        <w:rPr>
          <w:lang w:val="en-US"/>
        </w:rPr>
        <w:t>The correct dose of plasma is determin</w:t>
      </w:r>
      <w:r w:rsidR="00F15770" w:rsidRPr="002F7495">
        <w:rPr>
          <w:lang w:val="en-US"/>
        </w:rPr>
        <w:t>e</w:t>
      </w:r>
      <w:r w:rsidR="00960F92" w:rsidRPr="002F7495">
        <w:rPr>
          <w:lang w:val="en-US"/>
        </w:rPr>
        <w:t>d</w:t>
      </w:r>
      <w:r w:rsidR="00F15770" w:rsidRPr="002F7495">
        <w:rPr>
          <w:lang w:val="en-US"/>
        </w:rPr>
        <w:t xml:space="preserve"> </w:t>
      </w:r>
      <w:r w:rsidRPr="002F7495">
        <w:rPr>
          <w:lang w:val="en-US"/>
        </w:rPr>
        <w:t>by either w</w:t>
      </w:r>
      <w:r w:rsidR="00F8767A" w:rsidRPr="002F7495">
        <w:rPr>
          <w:lang w:val="en-US"/>
        </w:rPr>
        <w:t>eight</w:t>
      </w:r>
      <w:r w:rsidR="00727647" w:rsidRPr="002F7495">
        <w:rPr>
          <w:lang w:val="en-US"/>
        </w:rPr>
        <w:t>-</w:t>
      </w:r>
      <w:r w:rsidR="00F8767A" w:rsidRPr="002F7495">
        <w:rPr>
          <w:lang w:val="en-US"/>
        </w:rPr>
        <w:t>based do</w:t>
      </w:r>
      <w:r w:rsidR="00E00723" w:rsidRPr="002F7495">
        <w:rPr>
          <w:lang w:val="en-US"/>
        </w:rPr>
        <w:t>sing (hemo</w:t>
      </w:r>
      <w:r w:rsidR="00065170" w:rsidRPr="002F7495">
        <w:rPr>
          <w:lang w:val="en-US"/>
        </w:rPr>
        <w:t>dynamically stable patients) or ratio</w:t>
      </w:r>
      <w:r w:rsidR="00DF5E34">
        <w:rPr>
          <w:lang w:val="en-US"/>
        </w:rPr>
        <w:t>-</w:t>
      </w:r>
      <w:r w:rsidR="00065170" w:rsidRPr="002F7495">
        <w:rPr>
          <w:lang w:val="en-US"/>
        </w:rPr>
        <w:t xml:space="preserve">based dosing </w:t>
      </w:r>
      <w:r w:rsidR="00F15770" w:rsidRPr="002F7495">
        <w:rPr>
          <w:lang w:val="en-US"/>
        </w:rPr>
        <w:t>(</w:t>
      </w:r>
      <w:r w:rsidR="00550A0A" w:rsidRPr="002F7495">
        <w:rPr>
          <w:lang w:val="en-US"/>
        </w:rPr>
        <w:t>massively bleeding patients</w:t>
      </w:r>
      <w:r w:rsidR="00960F92" w:rsidRPr="002F7495">
        <w:rPr>
          <w:lang w:val="en-US"/>
        </w:rPr>
        <w:t>)</w:t>
      </w:r>
      <w:r w:rsidR="00F15770" w:rsidRPr="002F7495">
        <w:rPr>
          <w:lang w:val="en-US"/>
        </w:rPr>
        <w:t>:</w:t>
      </w:r>
      <w:r w:rsidR="00550A0A" w:rsidRPr="002F7495">
        <w:rPr>
          <w:lang w:val="en-US"/>
        </w:rPr>
        <w:t xml:space="preserve"> </w:t>
      </w:r>
    </w:p>
    <w:p w14:paraId="7CA42E66" w14:textId="19DF9224" w:rsidR="00AC47A6" w:rsidRPr="002F7495" w:rsidRDefault="00B11747" w:rsidP="0001439F">
      <w:pPr>
        <w:pStyle w:val="ListParagraph"/>
        <w:numPr>
          <w:ilvl w:val="0"/>
          <w:numId w:val="13"/>
        </w:numPr>
        <w:jc w:val="both"/>
        <w:rPr>
          <w:lang w:val="en-US"/>
        </w:rPr>
      </w:pPr>
      <w:r w:rsidRPr="002F7495">
        <w:rPr>
          <w:lang w:val="en-US"/>
        </w:rPr>
        <w:t xml:space="preserve">For the correction of coagulation factor levels in patients </w:t>
      </w:r>
      <w:r w:rsidR="0094505A" w:rsidRPr="002F7495">
        <w:rPr>
          <w:lang w:val="en-US"/>
        </w:rPr>
        <w:t xml:space="preserve">with acute bleeding, or prior </w:t>
      </w:r>
      <w:r w:rsidR="00921F28" w:rsidRPr="002F7495">
        <w:rPr>
          <w:lang w:val="en-US"/>
        </w:rPr>
        <w:t xml:space="preserve">to </w:t>
      </w:r>
      <w:r w:rsidR="0094505A" w:rsidRPr="002F7495">
        <w:rPr>
          <w:lang w:val="en-US"/>
        </w:rPr>
        <w:t>surgery or invasive procedure</w:t>
      </w:r>
      <w:r w:rsidR="00544F05" w:rsidRPr="002F7495">
        <w:rPr>
          <w:lang w:val="en-US"/>
        </w:rPr>
        <w:t>s</w:t>
      </w:r>
      <w:r w:rsidR="0094505A" w:rsidRPr="002F7495">
        <w:rPr>
          <w:lang w:val="en-US"/>
        </w:rPr>
        <w:t>, t</w:t>
      </w:r>
      <w:r w:rsidR="00C5411F" w:rsidRPr="002F7495">
        <w:rPr>
          <w:lang w:val="en-US"/>
        </w:rPr>
        <w:t xml:space="preserve">he recommended dose </w:t>
      </w:r>
      <w:r w:rsidR="00544F05" w:rsidRPr="002F7495">
        <w:rPr>
          <w:lang w:val="en-US"/>
        </w:rPr>
        <w:t>for FP is 1</w:t>
      </w:r>
      <w:r w:rsidR="007510DD" w:rsidRPr="002F7495">
        <w:rPr>
          <w:lang w:val="en-US"/>
        </w:rPr>
        <w:t>0</w:t>
      </w:r>
      <w:r w:rsidR="00544F05" w:rsidRPr="002F7495">
        <w:rPr>
          <w:lang w:val="en-US"/>
        </w:rPr>
        <w:t>-15 mLs/kg</w:t>
      </w:r>
      <w:r w:rsidR="009345BD">
        <w:rPr>
          <w:vertAlign w:val="superscript"/>
          <w:lang w:val="en-US"/>
        </w:rPr>
        <w:t>9</w:t>
      </w:r>
      <w:r w:rsidR="007229BB" w:rsidRPr="002F7495">
        <w:rPr>
          <w:vertAlign w:val="superscript"/>
          <w:lang w:val="en-US"/>
        </w:rPr>
        <w:t>,2</w:t>
      </w:r>
      <w:r w:rsidR="0000546B">
        <w:rPr>
          <w:vertAlign w:val="superscript"/>
          <w:lang w:val="en-US"/>
        </w:rPr>
        <w:t>7</w:t>
      </w:r>
      <w:r w:rsidR="007C6FFD" w:rsidRPr="002F7495">
        <w:rPr>
          <w:lang w:val="en-US"/>
        </w:rPr>
        <w:t>,</w:t>
      </w:r>
      <w:r w:rsidR="00F51565" w:rsidRPr="002F7495">
        <w:rPr>
          <w:lang w:val="en-US"/>
        </w:rPr>
        <w:t xml:space="preserve"> which</w:t>
      </w:r>
      <w:r w:rsidR="007C6FFD" w:rsidRPr="002F7495">
        <w:rPr>
          <w:lang w:val="en-US"/>
        </w:rPr>
        <w:t xml:space="preserve"> is the </w:t>
      </w:r>
      <w:r w:rsidR="0001439F" w:rsidRPr="002F7495">
        <w:rPr>
          <w:lang w:val="en-US"/>
        </w:rPr>
        <w:t>volume required</w:t>
      </w:r>
      <w:r w:rsidR="00F51565" w:rsidRPr="002F7495">
        <w:rPr>
          <w:lang w:val="en-US"/>
        </w:rPr>
        <w:t xml:space="preserve"> to increase coagulation factors levels above the minimum hemostatic threshold of 30%</w:t>
      </w:r>
      <w:r w:rsidR="007229BB" w:rsidRPr="002F7495">
        <w:rPr>
          <w:vertAlign w:val="superscript"/>
          <w:lang w:val="en-US"/>
        </w:rPr>
        <w:t>2</w:t>
      </w:r>
      <w:r w:rsidR="0000546B">
        <w:rPr>
          <w:vertAlign w:val="superscript"/>
          <w:lang w:val="en-US"/>
        </w:rPr>
        <w:t>8</w:t>
      </w:r>
      <w:r w:rsidR="00544F05" w:rsidRPr="002F7495">
        <w:rPr>
          <w:lang w:val="en-US"/>
        </w:rPr>
        <w:t xml:space="preserve">. </w:t>
      </w:r>
      <w:r w:rsidR="007510DD" w:rsidRPr="002F7495">
        <w:rPr>
          <w:lang w:val="en-US"/>
        </w:rPr>
        <w:t xml:space="preserve"> </w:t>
      </w:r>
      <w:r w:rsidR="001A1701" w:rsidRPr="002F7495">
        <w:rPr>
          <w:lang w:val="en-US"/>
        </w:rPr>
        <w:t>Given the similarity in coagulation factor levels, this dose is also appropriate for S/D Plasma</w:t>
      </w:r>
      <w:r w:rsidR="00D718CB" w:rsidRPr="002F7495">
        <w:rPr>
          <w:lang w:val="en-US"/>
        </w:rPr>
        <w:t>.</w:t>
      </w:r>
      <w:r w:rsidR="00544F05" w:rsidRPr="002F7495">
        <w:rPr>
          <w:lang w:val="en-US"/>
        </w:rPr>
        <w:t xml:space="preserve"> </w:t>
      </w:r>
      <w:r w:rsidR="002A4C36" w:rsidRPr="002F7495">
        <w:rPr>
          <w:lang w:val="en-US"/>
        </w:rPr>
        <w:t>In pediatric patients w</w:t>
      </w:r>
      <w:r w:rsidR="00920692" w:rsidRPr="002F7495">
        <w:rPr>
          <w:lang w:val="en-US"/>
        </w:rPr>
        <w:t>e</w:t>
      </w:r>
      <w:r w:rsidR="002A4C36" w:rsidRPr="002F7495">
        <w:rPr>
          <w:lang w:val="en-US"/>
        </w:rPr>
        <w:t>ighing less t</w:t>
      </w:r>
      <w:r w:rsidR="00F40182" w:rsidRPr="002F7495">
        <w:rPr>
          <w:lang w:val="en-US"/>
        </w:rPr>
        <w:t>h</w:t>
      </w:r>
      <w:r w:rsidR="002A4C36" w:rsidRPr="002F7495">
        <w:rPr>
          <w:lang w:val="en-US"/>
        </w:rPr>
        <w:t>an 40 kg, t</w:t>
      </w:r>
      <w:r w:rsidR="00D0179F" w:rsidRPr="002F7495">
        <w:rPr>
          <w:lang w:val="en-US"/>
        </w:rPr>
        <w:t xml:space="preserve">he plasma is usually ordered in mLs/kg. For larger pediatric patients and adult patients, plasma is usually ordered </w:t>
      </w:r>
      <w:r w:rsidR="00B7172A" w:rsidRPr="002F7495">
        <w:rPr>
          <w:lang w:val="en-US"/>
        </w:rPr>
        <w:t>in units.</w:t>
      </w:r>
      <w:r w:rsidR="00CC14A8" w:rsidRPr="002F7495">
        <w:rPr>
          <w:lang w:val="en-US"/>
        </w:rPr>
        <w:t xml:space="preserve"> As</w:t>
      </w:r>
      <w:r w:rsidR="00B7172A" w:rsidRPr="002F7495">
        <w:rPr>
          <w:lang w:val="en-US"/>
        </w:rPr>
        <w:t xml:space="preserve"> S/D Plasma is </w:t>
      </w:r>
      <w:r w:rsidR="009B735C" w:rsidRPr="002F7495">
        <w:rPr>
          <w:lang w:val="en-US"/>
        </w:rPr>
        <w:t>supplied in a smaller standard 200 mL bag compared to an average 2</w:t>
      </w:r>
      <w:r w:rsidR="00760D27" w:rsidRPr="002F7495">
        <w:rPr>
          <w:lang w:val="en-US"/>
        </w:rPr>
        <w:t>89</w:t>
      </w:r>
      <w:r w:rsidR="009B735C" w:rsidRPr="002F7495">
        <w:rPr>
          <w:lang w:val="en-US"/>
        </w:rPr>
        <w:t xml:space="preserve"> mL </w:t>
      </w:r>
      <w:r w:rsidR="00E16F53" w:rsidRPr="002F7495">
        <w:rPr>
          <w:lang w:val="en-US"/>
        </w:rPr>
        <w:t>per unit of</w:t>
      </w:r>
      <w:r w:rsidR="009B735C" w:rsidRPr="002F7495">
        <w:rPr>
          <w:lang w:val="en-US"/>
        </w:rPr>
        <w:t xml:space="preserve"> </w:t>
      </w:r>
      <w:r w:rsidR="006D4B9B" w:rsidRPr="002F7495">
        <w:rPr>
          <w:lang w:val="en-US"/>
        </w:rPr>
        <w:t xml:space="preserve">FP, </w:t>
      </w:r>
      <w:r w:rsidR="001F5BDC" w:rsidRPr="002F7495">
        <w:rPr>
          <w:lang w:val="en-US"/>
        </w:rPr>
        <w:t xml:space="preserve">a </w:t>
      </w:r>
      <w:r w:rsidR="001F5BDC" w:rsidRPr="002F7495">
        <w:rPr>
          <w:lang w:val="en-US"/>
        </w:rPr>
        <w:lastRenderedPageBreak/>
        <w:t>larger</w:t>
      </w:r>
      <w:r w:rsidR="006D4B9B" w:rsidRPr="002F7495">
        <w:rPr>
          <w:lang w:val="en-US"/>
        </w:rPr>
        <w:t xml:space="preserve"> number of units </w:t>
      </w:r>
      <w:r w:rsidR="001F5BDC" w:rsidRPr="002F7495">
        <w:rPr>
          <w:lang w:val="en-US"/>
        </w:rPr>
        <w:t xml:space="preserve">of </w:t>
      </w:r>
      <w:r w:rsidR="00840DEB" w:rsidRPr="002F7495">
        <w:rPr>
          <w:lang w:val="en-US"/>
        </w:rPr>
        <w:t xml:space="preserve">S/D </w:t>
      </w:r>
      <w:r w:rsidR="00840DEB" w:rsidRPr="00DF5E34">
        <w:rPr>
          <w:lang w:val="en-US"/>
        </w:rPr>
        <w:t xml:space="preserve">Plasma </w:t>
      </w:r>
      <w:r w:rsidR="000C2D87" w:rsidRPr="00DF5E34">
        <w:rPr>
          <w:lang w:val="en-US"/>
        </w:rPr>
        <w:t>may</w:t>
      </w:r>
      <w:r w:rsidR="00840DEB" w:rsidRPr="002F7495">
        <w:rPr>
          <w:lang w:val="en-US"/>
        </w:rPr>
        <w:t xml:space="preserve"> </w:t>
      </w:r>
      <w:r w:rsidR="001F5BDC" w:rsidRPr="002F7495">
        <w:rPr>
          <w:lang w:val="en-US"/>
        </w:rPr>
        <w:t>be required</w:t>
      </w:r>
      <w:r w:rsidR="00840DEB" w:rsidRPr="002F7495">
        <w:rPr>
          <w:lang w:val="en-US"/>
        </w:rPr>
        <w:t xml:space="preserve"> to deliver </w:t>
      </w:r>
      <w:r w:rsidR="009245B5" w:rsidRPr="002F7495">
        <w:rPr>
          <w:lang w:val="en-US"/>
        </w:rPr>
        <w:t>a</w:t>
      </w:r>
      <w:r w:rsidR="001F5BDC" w:rsidRPr="002F7495">
        <w:rPr>
          <w:lang w:val="en-US"/>
        </w:rPr>
        <w:t xml:space="preserve"> </w:t>
      </w:r>
      <w:r w:rsidR="009245B5" w:rsidRPr="002F7495">
        <w:rPr>
          <w:lang w:val="en-US"/>
        </w:rPr>
        <w:t>therapeutic dose of plasma.</w:t>
      </w:r>
      <w:r w:rsidR="00AD362D" w:rsidRPr="002F7495">
        <w:rPr>
          <w:lang w:val="en-US"/>
        </w:rPr>
        <w:t xml:space="preserve"> </w:t>
      </w:r>
      <w:r w:rsidR="00AE6871" w:rsidRPr="002F7495">
        <w:rPr>
          <w:lang w:val="en-US"/>
        </w:rPr>
        <w:t>M</w:t>
      </w:r>
      <w:r w:rsidR="007F2DEE" w:rsidRPr="002F7495">
        <w:rPr>
          <w:lang w:val="en-US"/>
        </w:rPr>
        <w:t xml:space="preserve">ost </w:t>
      </w:r>
      <w:r w:rsidR="00A026F0" w:rsidRPr="002F7495">
        <w:rPr>
          <w:lang w:val="en-US"/>
        </w:rPr>
        <w:t xml:space="preserve">adult patients (60-90 kg) will require 4-6 units of S/D </w:t>
      </w:r>
      <w:r w:rsidR="006365A6" w:rsidRPr="002F7495">
        <w:rPr>
          <w:lang w:val="en-US"/>
        </w:rPr>
        <w:t xml:space="preserve">Plasma or 3-4 units of </w:t>
      </w:r>
      <w:r w:rsidR="00746CAE" w:rsidRPr="002F7495">
        <w:rPr>
          <w:lang w:val="en-US"/>
        </w:rPr>
        <w:t>FP to achieve hemostatic levels of coagulation factors</w:t>
      </w:r>
      <w:r w:rsidR="00B94C74" w:rsidRPr="002F7495">
        <w:rPr>
          <w:lang w:val="en-US"/>
        </w:rPr>
        <w:t xml:space="preserve">. </w:t>
      </w:r>
      <w:r w:rsidR="009A78B8" w:rsidRPr="002F7495">
        <w:rPr>
          <w:lang w:val="en-US"/>
        </w:rPr>
        <w:t>T</w:t>
      </w:r>
      <w:r w:rsidR="00B94C74" w:rsidRPr="002F7495">
        <w:rPr>
          <w:lang w:val="en-US"/>
        </w:rPr>
        <w:t>he</w:t>
      </w:r>
      <w:r w:rsidR="009A78B8" w:rsidRPr="002F7495">
        <w:rPr>
          <w:lang w:val="en-US"/>
        </w:rPr>
        <w:t xml:space="preserve"> </w:t>
      </w:r>
      <w:r w:rsidR="00CB77C2" w:rsidRPr="002F7495">
        <w:rPr>
          <w:lang w:val="en-US"/>
        </w:rPr>
        <w:t xml:space="preserve">prescribed dose of </w:t>
      </w:r>
      <w:r w:rsidR="00B30BB2" w:rsidRPr="002F7495">
        <w:rPr>
          <w:lang w:val="en-US"/>
        </w:rPr>
        <w:t>plasma should be guided by the clinical situation and coagulation results.</w:t>
      </w:r>
    </w:p>
    <w:p w14:paraId="0990557E" w14:textId="77777777" w:rsidR="00AC47A6" w:rsidRPr="002F7495" w:rsidRDefault="00AC47A6" w:rsidP="00AC47A6">
      <w:pPr>
        <w:pStyle w:val="ListParagraph"/>
        <w:rPr>
          <w:lang w:val="en-US"/>
        </w:rPr>
      </w:pPr>
    </w:p>
    <w:p w14:paraId="0EA52888" w14:textId="2BCCD176" w:rsidR="00E25396" w:rsidRPr="002F7495" w:rsidRDefault="0005324E" w:rsidP="0001439F">
      <w:pPr>
        <w:pStyle w:val="ListParagraph"/>
        <w:numPr>
          <w:ilvl w:val="0"/>
          <w:numId w:val="13"/>
        </w:numPr>
        <w:jc w:val="both"/>
        <w:rPr>
          <w:lang w:val="en-US"/>
        </w:rPr>
      </w:pPr>
      <w:r w:rsidRPr="002F7495">
        <w:rPr>
          <w:lang w:val="en-US"/>
        </w:rPr>
        <w:t>T</w:t>
      </w:r>
      <w:r w:rsidR="006F2874" w:rsidRPr="002F7495">
        <w:rPr>
          <w:lang w:val="en-US"/>
        </w:rPr>
        <w:t>he NAC recommend</w:t>
      </w:r>
      <w:r w:rsidR="009A39BD" w:rsidRPr="002F7495">
        <w:rPr>
          <w:lang w:val="en-US"/>
        </w:rPr>
        <w:t>s</w:t>
      </w:r>
      <w:r w:rsidR="006F2874" w:rsidRPr="002F7495">
        <w:rPr>
          <w:lang w:val="en-US"/>
        </w:rPr>
        <w:t xml:space="preserve"> that </w:t>
      </w:r>
      <w:r w:rsidR="002E1AE5" w:rsidRPr="002F7495">
        <w:rPr>
          <w:lang w:val="en-US"/>
        </w:rPr>
        <w:t>the</w:t>
      </w:r>
      <w:r w:rsidR="006F2874" w:rsidRPr="002F7495">
        <w:rPr>
          <w:lang w:val="en-US"/>
        </w:rPr>
        <w:t xml:space="preserve"> </w:t>
      </w:r>
      <w:r w:rsidR="002E1AE5" w:rsidRPr="002F7495">
        <w:rPr>
          <w:lang w:val="en-US"/>
        </w:rPr>
        <w:t xml:space="preserve">number of plasma units prescribed </w:t>
      </w:r>
      <w:r w:rsidR="009A39BD" w:rsidRPr="00DF5E34">
        <w:rPr>
          <w:lang w:val="en-US"/>
        </w:rPr>
        <w:t>in</w:t>
      </w:r>
      <w:r w:rsidR="009A39BD" w:rsidRPr="002F7495">
        <w:rPr>
          <w:lang w:val="en-US"/>
        </w:rPr>
        <w:t xml:space="preserve"> Massive </w:t>
      </w:r>
      <w:r w:rsidR="00664574" w:rsidRPr="002F7495">
        <w:rPr>
          <w:lang w:val="en-US"/>
        </w:rPr>
        <w:t xml:space="preserve">Hemorrhage </w:t>
      </w:r>
      <w:r w:rsidR="009A39BD" w:rsidRPr="002F7495">
        <w:rPr>
          <w:lang w:val="en-US"/>
        </w:rPr>
        <w:t>Protocols (M</w:t>
      </w:r>
      <w:r w:rsidR="00664574" w:rsidRPr="002F7495">
        <w:rPr>
          <w:lang w:val="en-US"/>
        </w:rPr>
        <w:t>H</w:t>
      </w:r>
      <w:r w:rsidR="009A39BD" w:rsidRPr="002F7495">
        <w:rPr>
          <w:lang w:val="en-US"/>
        </w:rPr>
        <w:t>Ps)</w:t>
      </w:r>
      <w:r w:rsidR="00B57558" w:rsidRPr="002F7495">
        <w:rPr>
          <w:lang w:val="en-US"/>
        </w:rPr>
        <w:t xml:space="preserve"> be the same whethe</w:t>
      </w:r>
      <w:r w:rsidR="00DD191E" w:rsidRPr="002F7495">
        <w:rPr>
          <w:lang w:val="en-US"/>
        </w:rPr>
        <w:t xml:space="preserve">r </w:t>
      </w:r>
      <w:r w:rsidR="006F2874" w:rsidRPr="002F7495">
        <w:rPr>
          <w:lang w:val="en-US"/>
        </w:rPr>
        <w:t xml:space="preserve">S/D </w:t>
      </w:r>
      <w:r w:rsidR="0019311B" w:rsidRPr="002F7495">
        <w:rPr>
          <w:lang w:val="en-US"/>
        </w:rPr>
        <w:t>P</w:t>
      </w:r>
      <w:r w:rsidR="006F2874" w:rsidRPr="002F7495">
        <w:rPr>
          <w:lang w:val="en-US"/>
        </w:rPr>
        <w:t xml:space="preserve">lasma </w:t>
      </w:r>
      <w:r w:rsidR="00DD191E" w:rsidRPr="002F7495">
        <w:rPr>
          <w:lang w:val="en-US"/>
        </w:rPr>
        <w:t xml:space="preserve">or </w:t>
      </w:r>
      <w:r w:rsidR="006F2874" w:rsidRPr="002F7495">
        <w:rPr>
          <w:lang w:val="en-US"/>
        </w:rPr>
        <w:t>FP</w:t>
      </w:r>
      <w:r w:rsidR="00DD191E" w:rsidRPr="002F7495">
        <w:rPr>
          <w:lang w:val="en-US"/>
        </w:rPr>
        <w:t xml:space="preserve"> is </w:t>
      </w:r>
      <w:r w:rsidR="00D9544A" w:rsidRPr="002F7495">
        <w:rPr>
          <w:lang w:val="en-US"/>
        </w:rPr>
        <w:t>used</w:t>
      </w:r>
      <w:r w:rsidR="006F2874" w:rsidRPr="002F7495">
        <w:rPr>
          <w:lang w:val="en-US"/>
        </w:rPr>
        <w:t xml:space="preserve">. </w:t>
      </w:r>
      <w:r w:rsidR="00415B7A" w:rsidRPr="002F7495">
        <w:rPr>
          <w:lang w:val="en-US"/>
        </w:rPr>
        <w:t>For patient</w:t>
      </w:r>
      <w:r w:rsidR="00984EF2" w:rsidRPr="002F7495">
        <w:rPr>
          <w:lang w:val="en-US"/>
        </w:rPr>
        <w:t>s</w:t>
      </w:r>
      <w:r w:rsidR="00415B7A" w:rsidRPr="002F7495">
        <w:rPr>
          <w:lang w:val="en-US"/>
        </w:rPr>
        <w:t xml:space="preserve"> with massive hemorrhage</w:t>
      </w:r>
      <w:r w:rsidR="007D671B" w:rsidRPr="002F7495">
        <w:rPr>
          <w:lang w:val="en-US"/>
        </w:rPr>
        <w:t xml:space="preserve"> requiring transfusion support</w:t>
      </w:r>
      <w:r w:rsidR="00415B7A" w:rsidRPr="002F7495">
        <w:rPr>
          <w:lang w:val="en-US"/>
        </w:rPr>
        <w:t xml:space="preserve">, </w:t>
      </w:r>
      <w:r w:rsidR="00B73175" w:rsidRPr="002F7495">
        <w:rPr>
          <w:lang w:val="en-US"/>
        </w:rPr>
        <w:t xml:space="preserve">resuscitation with </w:t>
      </w:r>
      <w:r w:rsidR="00415B7A" w:rsidRPr="002F7495">
        <w:rPr>
          <w:lang w:val="en-US"/>
        </w:rPr>
        <w:t>fixed ratio</w:t>
      </w:r>
      <w:r w:rsidR="007D671B" w:rsidRPr="002F7495">
        <w:rPr>
          <w:lang w:val="en-US"/>
        </w:rPr>
        <w:t xml:space="preserve"> of</w:t>
      </w:r>
      <w:r w:rsidR="00B55880" w:rsidRPr="002F7495">
        <w:rPr>
          <w:lang w:val="en-US"/>
        </w:rPr>
        <w:t xml:space="preserve"> F</w:t>
      </w:r>
      <w:r w:rsidR="006E0E58" w:rsidRPr="002F7495">
        <w:rPr>
          <w:lang w:val="en-US"/>
        </w:rPr>
        <w:t>P</w:t>
      </w:r>
      <w:r w:rsidR="00B55880" w:rsidRPr="002F7495">
        <w:rPr>
          <w:lang w:val="en-US"/>
        </w:rPr>
        <w:t xml:space="preserve"> to </w:t>
      </w:r>
      <w:r w:rsidR="003951BA" w:rsidRPr="002F7495">
        <w:rPr>
          <w:lang w:val="en-US"/>
        </w:rPr>
        <w:t xml:space="preserve">Red Blood Cells (RBCs) </w:t>
      </w:r>
      <w:r w:rsidR="007D671B" w:rsidRPr="002F7495">
        <w:rPr>
          <w:lang w:val="en-US"/>
        </w:rPr>
        <w:t>is commonly used</w:t>
      </w:r>
      <w:r w:rsidR="00E152ED" w:rsidRPr="002F7495">
        <w:rPr>
          <w:lang w:val="en-US"/>
        </w:rPr>
        <w:t xml:space="preserve"> </w:t>
      </w:r>
      <w:r w:rsidR="006F2874" w:rsidRPr="002F7495">
        <w:rPr>
          <w:lang w:val="en-US"/>
        </w:rPr>
        <w:t>in M</w:t>
      </w:r>
      <w:r w:rsidR="00D00F5A" w:rsidRPr="002F7495">
        <w:rPr>
          <w:lang w:val="en-US"/>
        </w:rPr>
        <w:t>H</w:t>
      </w:r>
      <w:r w:rsidR="006F2874" w:rsidRPr="002F7495">
        <w:rPr>
          <w:lang w:val="en-US"/>
        </w:rPr>
        <w:t>Ps</w:t>
      </w:r>
      <w:r w:rsidR="00C26BEA" w:rsidRPr="002F7495">
        <w:rPr>
          <w:vertAlign w:val="superscript"/>
          <w:lang w:val="en-US"/>
        </w:rPr>
        <w:t>2</w:t>
      </w:r>
      <w:r w:rsidR="0000546B">
        <w:rPr>
          <w:vertAlign w:val="superscript"/>
          <w:lang w:val="en-US"/>
        </w:rPr>
        <w:t>9</w:t>
      </w:r>
      <w:r w:rsidR="00E152ED" w:rsidRPr="002F7495">
        <w:rPr>
          <w:lang w:val="en-US"/>
        </w:rPr>
        <w:t>.  Th</w:t>
      </w:r>
      <w:r w:rsidR="001046BA" w:rsidRPr="002F7495">
        <w:rPr>
          <w:lang w:val="en-US"/>
        </w:rPr>
        <w:t>is practi</w:t>
      </w:r>
      <w:r w:rsidR="006F2874" w:rsidRPr="002F7495">
        <w:rPr>
          <w:lang w:val="en-US"/>
        </w:rPr>
        <w:t>c</w:t>
      </w:r>
      <w:r w:rsidR="001046BA" w:rsidRPr="002F7495">
        <w:rPr>
          <w:lang w:val="en-US"/>
        </w:rPr>
        <w:t>e is</w:t>
      </w:r>
      <w:r w:rsidR="007D671B" w:rsidRPr="002F7495">
        <w:rPr>
          <w:lang w:val="en-US"/>
        </w:rPr>
        <w:t xml:space="preserve"> based on </w:t>
      </w:r>
      <w:r w:rsidR="001046BA" w:rsidRPr="002F7495">
        <w:rPr>
          <w:lang w:val="en-US"/>
        </w:rPr>
        <w:t xml:space="preserve">observational studies </w:t>
      </w:r>
      <w:r w:rsidR="00113DD5" w:rsidRPr="002F7495">
        <w:rPr>
          <w:lang w:val="en-US"/>
        </w:rPr>
        <w:t xml:space="preserve">that report improved outcomes in </w:t>
      </w:r>
      <w:r w:rsidR="00B73175" w:rsidRPr="002F7495">
        <w:rPr>
          <w:lang w:val="en-US"/>
        </w:rPr>
        <w:t>military</w:t>
      </w:r>
      <w:r w:rsidR="00CE2AC8" w:rsidRPr="002F7495">
        <w:rPr>
          <w:lang w:val="en-US"/>
        </w:rPr>
        <w:t xml:space="preserve"> patients</w:t>
      </w:r>
      <w:r w:rsidR="00311FC7" w:rsidRPr="002F7495">
        <w:rPr>
          <w:lang w:val="en-US"/>
        </w:rPr>
        <w:t xml:space="preserve"> with massive hemorrhage</w:t>
      </w:r>
      <w:r w:rsidR="00B73175" w:rsidRPr="002F7495">
        <w:rPr>
          <w:lang w:val="en-US"/>
        </w:rPr>
        <w:t xml:space="preserve"> secondary to trauma</w:t>
      </w:r>
      <w:r w:rsidR="00571A47" w:rsidRPr="002F7495">
        <w:rPr>
          <w:lang w:val="en-US"/>
        </w:rPr>
        <w:t>.</w:t>
      </w:r>
      <w:r w:rsidR="00B73175" w:rsidRPr="002F7495">
        <w:rPr>
          <w:lang w:val="en-US"/>
        </w:rPr>
        <w:t xml:space="preserve"> While a</w:t>
      </w:r>
      <w:r w:rsidR="00B55880" w:rsidRPr="002F7495">
        <w:rPr>
          <w:lang w:val="en-US"/>
        </w:rPr>
        <w:t xml:space="preserve"> high </w:t>
      </w:r>
      <w:r w:rsidR="006E0E58" w:rsidRPr="002F7495">
        <w:rPr>
          <w:lang w:val="en-US"/>
        </w:rPr>
        <w:t xml:space="preserve">transfusion ratio of FP:RBC has been </w:t>
      </w:r>
      <w:r w:rsidR="0057473D" w:rsidRPr="002F7495">
        <w:rPr>
          <w:lang w:val="en-US"/>
        </w:rPr>
        <w:t xml:space="preserve">recommended in trauma patients requiring massive transfusion, the </w:t>
      </w:r>
      <w:r w:rsidR="0072428E" w:rsidRPr="002F7495">
        <w:rPr>
          <w:lang w:val="en-US"/>
        </w:rPr>
        <w:t>ideal ratio is unknown</w:t>
      </w:r>
      <w:r w:rsidR="0000546B">
        <w:rPr>
          <w:vertAlign w:val="superscript"/>
          <w:lang w:val="en-US"/>
        </w:rPr>
        <w:t>30</w:t>
      </w:r>
      <w:r w:rsidR="00DE5B1F" w:rsidRPr="002F7495">
        <w:rPr>
          <w:lang w:val="en-US"/>
        </w:rPr>
        <w:t xml:space="preserve">.  </w:t>
      </w:r>
      <w:r w:rsidR="009379B0" w:rsidRPr="002F7495">
        <w:rPr>
          <w:lang w:val="en-US"/>
        </w:rPr>
        <w:t>In clinical practice,</w:t>
      </w:r>
      <w:r w:rsidR="00DE5B1F" w:rsidRPr="002F7495">
        <w:rPr>
          <w:lang w:val="en-US"/>
        </w:rPr>
        <w:t xml:space="preserve"> </w:t>
      </w:r>
      <w:r w:rsidR="00D9544A" w:rsidRPr="002F7495">
        <w:rPr>
          <w:lang w:val="en-US"/>
        </w:rPr>
        <w:t xml:space="preserve">there is </w:t>
      </w:r>
      <w:r w:rsidR="00A559D1" w:rsidRPr="002F7495">
        <w:rPr>
          <w:lang w:val="en-US"/>
        </w:rPr>
        <w:t>variability in the volumes of</w:t>
      </w:r>
      <w:r w:rsidR="00BB6224" w:rsidRPr="002F7495">
        <w:rPr>
          <w:lang w:val="en-US"/>
        </w:rPr>
        <w:t xml:space="preserve"> the</w:t>
      </w:r>
      <w:r w:rsidR="00A559D1" w:rsidRPr="002F7495">
        <w:rPr>
          <w:lang w:val="en-US"/>
        </w:rPr>
        <w:t xml:space="preserve"> FP and RBC</w:t>
      </w:r>
      <w:r w:rsidR="00760E20" w:rsidRPr="002F7495">
        <w:rPr>
          <w:lang w:val="en-US"/>
        </w:rPr>
        <w:t xml:space="preserve"> units</w:t>
      </w:r>
      <w:r w:rsidR="004D0C47" w:rsidRPr="002F7495">
        <w:rPr>
          <w:lang w:val="en-US"/>
        </w:rPr>
        <w:t xml:space="preserve"> transfused</w:t>
      </w:r>
      <w:r w:rsidR="005423B0" w:rsidRPr="002F7495">
        <w:rPr>
          <w:lang w:val="en-US"/>
        </w:rPr>
        <w:t xml:space="preserve">, and </w:t>
      </w:r>
      <w:r w:rsidR="00DB406B" w:rsidRPr="002F7495">
        <w:rPr>
          <w:lang w:val="en-US"/>
        </w:rPr>
        <w:t>often the desired ratio of FP</w:t>
      </w:r>
      <w:r w:rsidR="004D0C47" w:rsidRPr="002F7495">
        <w:rPr>
          <w:lang w:val="en-US"/>
        </w:rPr>
        <w:t>:RBC units is not achieved</w:t>
      </w:r>
      <w:r w:rsidR="00BB6224" w:rsidRPr="002F7495">
        <w:rPr>
          <w:lang w:val="en-US"/>
        </w:rPr>
        <w:t>. As a result,</w:t>
      </w:r>
      <w:r w:rsidR="00EB7FA1" w:rsidRPr="002F7495">
        <w:rPr>
          <w:lang w:val="en-US"/>
        </w:rPr>
        <w:t xml:space="preserve"> there is significant inherent variability in the </w:t>
      </w:r>
      <w:r w:rsidR="001B1988" w:rsidRPr="002F7495">
        <w:rPr>
          <w:lang w:val="en-US"/>
        </w:rPr>
        <w:t>actual volume</w:t>
      </w:r>
      <w:r w:rsidR="00154F89" w:rsidRPr="002F7495">
        <w:rPr>
          <w:lang w:val="en-US"/>
        </w:rPr>
        <w:t>s</w:t>
      </w:r>
      <w:r w:rsidR="001B1988" w:rsidRPr="002F7495">
        <w:rPr>
          <w:lang w:val="en-US"/>
        </w:rPr>
        <w:t xml:space="preserve"> of plasma and red cells transfused. </w:t>
      </w:r>
      <w:r w:rsidR="00331227" w:rsidRPr="002F7495">
        <w:rPr>
          <w:lang w:val="en-US"/>
        </w:rPr>
        <w:t xml:space="preserve"> </w:t>
      </w:r>
      <w:r w:rsidR="00C54AD3" w:rsidRPr="002F7495">
        <w:rPr>
          <w:lang w:val="en-US"/>
        </w:rPr>
        <w:t xml:space="preserve">FP:RBC ratios of 1:1 to 1:3 have been recommended as </w:t>
      </w:r>
      <w:r w:rsidR="004D26C0" w:rsidRPr="002F7495">
        <w:rPr>
          <w:lang w:val="en-US"/>
        </w:rPr>
        <w:t>sufficient to provide hemostat</w:t>
      </w:r>
      <w:r w:rsidR="00C7023B" w:rsidRPr="002F7495">
        <w:rPr>
          <w:lang w:val="en-US"/>
        </w:rPr>
        <w:t>ic levels of coagulation factors in trauma patients</w:t>
      </w:r>
      <w:r w:rsidR="001A769C" w:rsidRPr="002F7495">
        <w:rPr>
          <w:vertAlign w:val="superscript"/>
          <w:lang w:val="en-US"/>
        </w:rPr>
        <w:t>3</w:t>
      </w:r>
      <w:r w:rsidR="0000546B">
        <w:rPr>
          <w:vertAlign w:val="superscript"/>
          <w:lang w:val="en-US"/>
        </w:rPr>
        <w:t>1</w:t>
      </w:r>
      <w:r w:rsidR="00D16E9D" w:rsidRPr="002F7495">
        <w:rPr>
          <w:lang w:val="en-US"/>
        </w:rPr>
        <w:t>.  Additionally, no</w:t>
      </w:r>
      <w:r w:rsidR="00F6345F" w:rsidRPr="002F7495">
        <w:rPr>
          <w:lang w:val="en-US"/>
        </w:rPr>
        <w:t xml:space="preserve"> be</w:t>
      </w:r>
      <w:r w:rsidR="00E9362A" w:rsidRPr="002F7495">
        <w:rPr>
          <w:lang w:val="en-US"/>
        </w:rPr>
        <w:t>nefit</w:t>
      </w:r>
      <w:r w:rsidR="001C25F0" w:rsidRPr="002F7495">
        <w:rPr>
          <w:lang w:val="en-US"/>
        </w:rPr>
        <w:t xml:space="preserve"> has been demonstrated</w:t>
      </w:r>
      <w:r w:rsidR="00E9362A" w:rsidRPr="002F7495">
        <w:rPr>
          <w:lang w:val="en-US"/>
        </w:rPr>
        <w:t xml:space="preserve"> for higher FP:RBC ratios </w:t>
      </w:r>
      <w:r w:rsidR="00807363" w:rsidRPr="002F7495">
        <w:rPr>
          <w:lang w:val="en-US"/>
        </w:rPr>
        <w:t xml:space="preserve">in the resuscitation of </w:t>
      </w:r>
      <w:r w:rsidR="001C25F0" w:rsidRPr="002F7495">
        <w:rPr>
          <w:lang w:val="en-US"/>
        </w:rPr>
        <w:t xml:space="preserve">patients with </w:t>
      </w:r>
      <w:r w:rsidR="00807363" w:rsidRPr="002F7495">
        <w:rPr>
          <w:lang w:val="en-US"/>
        </w:rPr>
        <w:t xml:space="preserve">non-traumatic massive </w:t>
      </w:r>
      <w:r w:rsidR="005F47E6" w:rsidRPr="002F7495">
        <w:rPr>
          <w:lang w:val="en-US"/>
        </w:rPr>
        <w:t>hemorrhage</w:t>
      </w:r>
      <w:r w:rsidR="00973DC6" w:rsidRPr="002F7495">
        <w:rPr>
          <w:lang w:val="en-US"/>
        </w:rPr>
        <w:t>, wh</w:t>
      </w:r>
      <w:r w:rsidR="001C25F0" w:rsidRPr="002F7495">
        <w:rPr>
          <w:lang w:val="en-US"/>
        </w:rPr>
        <w:t>o</w:t>
      </w:r>
      <w:r w:rsidR="00973DC6" w:rsidRPr="002F7495">
        <w:rPr>
          <w:lang w:val="en-US"/>
        </w:rPr>
        <w:t xml:space="preserve"> represent the majority of</w:t>
      </w:r>
      <w:r w:rsidR="005E11E8" w:rsidRPr="002F7495">
        <w:rPr>
          <w:lang w:val="en-US"/>
        </w:rPr>
        <w:t xml:space="preserve"> MHP</w:t>
      </w:r>
      <w:r w:rsidR="00A953DC" w:rsidRPr="002F7495">
        <w:rPr>
          <w:lang w:val="en-US"/>
        </w:rPr>
        <w:t xml:space="preserve"> activation</w:t>
      </w:r>
      <w:r w:rsidR="00F27C57" w:rsidRPr="002F7495">
        <w:rPr>
          <w:lang w:val="en-US"/>
        </w:rPr>
        <w:t>s</w:t>
      </w:r>
      <w:r w:rsidR="00A04411" w:rsidRPr="002F7495">
        <w:rPr>
          <w:lang w:val="en-US"/>
        </w:rPr>
        <w:t xml:space="preserve"> in the civilian setting.  </w:t>
      </w:r>
      <w:r w:rsidR="00C121B3" w:rsidRPr="002F7495">
        <w:rPr>
          <w:lang w:val="en-US"/>
        </w:rPr>
        <w:t>Therefore, based on the limited evidence available</w:t>
      </w:r>
      <w:r w:rsidR="00F27C57" w:rsidRPr="002F7495">
        <w:rPr>
          <w:lang w:val="en-US"/>
        </w:rPr>
        <w:t xml:space="preserve">, </w:t>
      </w:r>
      <w:r w:rsidR="008043FA" w:rsidRPr="002F7495">
        <w:rPr>
          <w:lang w:val="en-US"/>
        </w:rPr>
        <w:t xml:space="preserve">the NAC </w:t>
      </w:r>
      <w:r w:rsidR="00C121B3" w:rsidRPr="002F7495">
        <w:rPr>
          <w:lang w:val="en-US"/>
        </w:rPr>
        <w:t xml:space="preserve">does not recommend increasing the </w:t>
      </w:r>
      <w:r w:rsidRPr="002F7495">
        <w:rPr>
          <w:lang w:val="en-US"/>
        </w:rPr>
        <w:t xml:space="preserve">initial </w:t>
      </w:r>
      <w:r w:rsidR="00C121B3" w:rsidRPr="002F7495">
        <w:rPr>
          <w:lang w:val="en-US"/>
        </w:rPr>
        <w:t xml:space="preserve">ratio of </w:t>
      </w:r>
      <w:r w:rsidR="00692326" w:rsidRPr="002F7495">
        <w:rPr>
          <w:lang w:val="en-US"/>
        </w:rPr>
        <w:t>plasma to RBC</w:t>
      </w:r>
      <w:r w:rsidR="008906A1" w:rsidRPr="002F7495">
        <w:rPr>
          <w:lang w:val="en-US"/>
        </w:rPr>
        <w:t xml:space="preserve"> units</w:t>
      </w:r>
      <w:r w:rsidR="00692326" w:rsidRPr="002F7495">
        <w:rPr>
          <w:lang w:val="en-US"/>
        </w:rPr>
        <w:t xml:space="preserve"> </w:t>
      </w:r>
      <w:r w:rsidRPr="002F7495">
        <w:rPr>
          <w:lang w:val="en-US"/>
        </w:rPr>
        <w:t>i</w:t>
      </w:r>
      <w:r w:rsidR="00692326" w:rsidRPr="002F7495">
        <w:rPr>
          <w:lang w:val="en-US"/>
        </w:rPr>
        <w:t>n M</w:t>
      </w:r>
      <w:r w:rsidR="00D00F5A" w:rsidRPr="002F7495">
        <w:rPr>
          <w:lang w:val="en-US"/>
        </w:rPr>
        <w:t>H</w:t>
      </w:r>
      <w:r w:rsidR="00692326" w:rsidRPr="002F7495">
        <w:rPr>
          <w:lang w:val="en-US"/>
        </w:rPr>
        <w:t xml:space="preserve">Ps when using </w:t>
      </w:r>
      <w:r w:rsidRPr="002F7495">
        <w:rPr>
          <w:lang w:val="en-US"/>
        </w:rPr>
        <w:t>S</w:t>
      </w:r>
      <w:r w:rsidR="00692326" w:rsidRPr="002F7495">
        <w:rPr>
          <w:lang w:val="en-US"/>
        </w:rPr>
        <w:t>/D plasma despite the lower volume of S/D plasma units</w:t>
      </w:r>
      <w:r w:rsidR="00437AD1" w:rsidRPr="002F7495">
        <w:rPr>
          <w:lang w:val="en-US"/>
        </w:rPr>
        <w:t>. H</w:t>
      </w:r>
      <w:r w:rsidR="00A953DC" w:rsidRPr="002F7495">
        <w:rPr>
          <w:lang w:val="en-US"/>
        </w:rPr>
        <w:t>owever, a</w:t>
      </w:r>
      <w:r w:rsidR="008906A1" w:rsidRPr="002F7495">
        <w:rPr>
          <w:lang w:val="en-US"/>
        </w:rPr>
        <w:t>s per</w:t>
      </w:r>
      <w:r w:rsidR="007B498B" w:rsidRPr="002F7495">
        <w:rPr>
          <w:lang w:val="en-US"/>
        </w:rPr>
        <w:t xml:space="preserve"> recent recommendations, </w:t>
      </w:r>
      <w:r w:rsidR="00526637" w:rsidRPr="002F7495">
        <w:rPr>
          <w:lang w:val="en-US"/>
        </w:rPr>
        <w:t xml:space="preserve">patients </w:t>
      </w:r>
      <w:r w:rsidR="00CE3F63" w:rsidRPr="002F7495">
        <w:rPr>
          <w:lang w:val="en-US"/>
        </w:rPr>
        <w:t xml:space="preserve">requiring massive transfusion </w:t>
      </w:r>
      <w:r w:rsidR="003863E1" w:rsidRPr="002F7495">
        <w:rPr>
          <w:lang w:val="en-US"/>
        </w:rPr>
        <w:t>require</w:t>
      </w:r>
      <w:r w:rsidR="00331227" w:rsidRPr="002F7495">
        <w:rPr>
          <w:lang w:val="en-US"/>
        </w:rPr>
        <w:t xml:space="preserve"> frequent mon</w:t>
      </w:r>
      <w:r w:rsidR="003863E1" w:rsidRPr="002F7495">
        <w:rPr>
          <w:lang w:val="en-US"/>
        </w:rPr>
        <w:t>itoring of coagulation tests and should</w:t>
      </w:r>
      <w:r w:rsidR="00526637" w:rsidRPr="002F7495">
        <w:rPr>
          <w:lang w:val="en-US"/>
        </w:rPr>
        <w:t xml:space="preserve"> be transitioned</w:t>
      </w:r>
      <w:r w:rsidR="00CE3F63" w:rsidRPr="002F7495">
        <w:rPr>
          <w:lang w:val="en-US"/>
        </w:rPr>
        <w:t xml:space="preserve"> </w:t>
      </w:r>
      <w:r w:rsidR="00526637" w:rsidRPr="002F7495">
        <w:rPr>
          <w:lang w:val="en-US"/>
        </w:rPr>
        <w:t xml:space="preserve">to laboratory guided </w:t>
      </w:r>
      <w:r w:rsidR="00AC0BF1" w:rsidRPr="002F7495">
        <w:rPr>
          <w:lang w:val="en-US"/>
        </w:rPr>
        <w:t>administration of blood components as soon as possible</w:t>
      </w:r>
      <w:r w:rsidR="001A769C" w:rsidRPr="002F7495">
        <w:rPr>
          <w:vertAlign w:val="superscript"/>
          <w:lang w:val="en-US"/>
        </w:rPr>
        <w:t>2</w:t>
      </w:r>
      <w:r w:rsidR="0000546B">
        <w:rPr>
          <w:vertAlign w:val="superscript"/>
          <w:lang w:val="en-US"/>
        </w:rPr>
        <w:t>9</w:t>
      </w:r>
      <w:r w:rsidR="00692326" w:rsidRPr="002F7495">
        <w:rPr>
          <w:lang w:val="en-US"/>
        </w:rPr>
        <w:t>.</w:t>
      </w:r>
      <w:r w:rsidR="00AF3BA2" w:rsidRPr="002F7495">
        <w:rPr>
          <w:lang w:val="en-US"/>
        </w:rPr>
        <w:t xml:space="preserve"> </w:t>
      </w:r>
      <w:r w:rsidRPr="002F7495">
        <w:rPr>
          <w:lang w:val="en-US"/>
        </w:rPr>
        <w:t xml:space="preserve">  </w:t>
      </w:r>
    </w:p>
    <w:p w14:paraId="55E467CC" w14:textId="319C41AD" w:rsidR="005D5771" w:rsidRDefault="005D5771">
      <w:pPr>
        <w:rPr>
          <w:lang w:val="en-US"/>
        </w:rPr>
      </w:pPr>
      <w:r>
        <w:rPr>
          <w:lang w:val="en-US"/>
        </w:rPr>
        <w:br w:type="page"/>
      </w:r>
    </w:p>
    <w:p w14:paraId="0B60D3BF" w14:textId="7BF48F53" w:rsidR="003856E0" w:rsidRPr="008747F2" w:rsidRDefault="008747F2" w:rsidP="008747F2">
      <w:pPr>
        <w:jc w:val="center"/>
        <w:rPr>
          <w:b/>
          <w:bCs/>
          <w:color w:val="FF0000"/>
          <w:sz w:val="24"/>
          <w:szCs w:val="24"/>
          <w:lang w:val="en-US"/>
        </w:rPr>
      </w:pPr>
      <w:r w:rsidRPr="008747F2">
        <w:rPr>
          <w:b/>
          <w:bCs/>
          <w:color w:val="FF0000"/>
          <w:sz w:val="24"/>
          <w:szCs w:val="24"/>
          <w:lang w:val="en-US"/>
        </w:rPr>
        <w:lastRenderedPageBreak/>
        <w:t>REFERENCES</w:t>
      </w:r>
    </w:p>
    <w:p w14:paraId="17C27D2E" w14:textId="0FE4D088" w:rsidR="000B5377" w:rsidRDefault="004B1A7D" w:rsidP="000B5377">
      <w:pPr>
        <w:pStyle w:val="ListParagraph"/>
        <w:numPr>
          <w:ilvl w:val="0"/>
          <w:numId w:val="6"/>
        </w:numPr>
        <w:spacing w:line="240" w:lineRule="auto"/>
      </w:pPr>
      <w:r w:rsidRPr="004B1A7D">
        <w:t>Optimal Therapy Recommendation for the use  of Solvent/Detergent‐Treated Human Plasma</w:t>
      </w:r>
      <w:r w:rsidR="00616163">
        <w:t xml:space="preserve">. </w:t>
      </w:r>
      <w:r w:rsidR="00616163" w:rsidRPr="00616163">
        <w:t xml:space="preserve"> </w:t>
      </w:r>
      <w:r w:rsidR="000B5377">
        <w:t>[Internet</w:t>
      </w:r>
      <w:r w:rsidR="00522B9C">
        <w:t>]</w:t>
      </w:r>
      <w:r w:rsidR="000B5377">
        <w:t xml:space="preserve"> Ottawa; </w:t>
      </w:r>
      <w:r w:rsidR="00616163" w:rsidRPr="004B1A7D">
        <w:t>Canadian Agency for Drugs and Technologies for Health</w:t>
      </w:r>
      <w:r w:rsidRPr="004B1A7D">
        <w:t>, May 2011</w:t>
      </w:r>
      <w:r w:rsidR="000B5377" w:rsidRPr="000B5377">
        <w:t xml:space="preserve"> [cited 2023 02 24]. Available from: </w:t>
      </w:r>
      <w:r w:rsidRPr="004B1A7D">
        <w:t xml:space="preserve">  </w:t>
      </w:r>
      <w:hyperlink r:id="rId9" w:history="1">
        <w:r w:rsidR="00522B9C" w:rsidRPr="00E43607">
          <w:rPr>
            <w:rStyle w:val="Hyperlink"/>
          </w:rPr>
          <w:t>http://www.cadth.ca/media/pdf/SDPlasma_rec‐report_e.pdf</w:t>
        </w:r>
      </w:hyperlink>
      <w:r w:rsidR="00522B9C">
        <w:t xml:space="preserve"> </w:t>
      </w:r>
    </w:p>
    <w:p w14:paraId="617F1348" w14:textId="64049498" w:rsidR="008C5073" w:rsidRDefault="00B940E8" w:rsidP="00114E00">
      <w:pPr>
        <w:pStyle w:val="ListParagraph"/>
        <w:numPr>
          <w:ilvl w:val="0"/>
          <w:numId w:val="6"/>
        </w:numPr>
        <w:spacing w:line="240" w:lineRule="auto"/>
      </w:pPr>
      <w:r w:rsidRPr="00B940E8">
        <w:t>Octaplas Compared with Fresh Frozen Plasma to Reduce the Risk of Transmitting Lipid-Enveloped Viruses: An Economic Analysis and Budget Impact Analysis</w:t>
      </w:r>
      <w:r w:rsidR="00522B9C">
        <w:t xml:space="preserve">. </w:t>
      </w:r>
      <w:r w:rsidR="00522B9C" w:rsidRPr="00522B9C">
        <w:t>[Internet] Ottawa; Canadian Agency for Drugs and Technologies for Health, May 2011 [cited 2023 02 24]. Available from:</w:t>
      </w:r>
      <w:r w:rsidRPr="00B940E8">
        <w:t xml:space="preserve"> </w:t>
      </w:r>
      <w:hyperlink r:id="rId10" w:history="1">
        <w:r w:rsidR="00D42F53" w:rsidRPr="004C14DE">
          <w:rPr>
            <w:rStyle w:val="Hyperlink"/>
          </w:rPr>
          <w:t>https://www.cadth.ca/sites/default/files/pdf/SDPlasma_econo‐analysis_e.pdf</w:t>
        </w:r>
      </w:hyperlink>
      <w:r w:rsidR="00D42F53">
        <w:t xml:space="preserve"> </w:t>
      </w:r>
    </w:p>
    <w:p w14:paraId="24E96FD2" w14:textId="77777777" w:rsidR="0023342E" w:rsidRDefault="0023342E" w:rsidP="0023342E">
      <w:pPr>
        <w:pStyle w:val="ListParagraph"/>
        <w:numPr>
          <w:ilvl w:val="0"/>
          <w:numId w:val="6"/>
        </w:numPr>
        <w:spacing w:line="240" w:lineRule="auto"/>
      </w:pPr>
      <w:r>
        <w:t>Krusius T AM, Tuimala J. Introduction of Octaplas® in clinical use decreased the rate of severe adverse reactions. Vox Sanguinis 2010;99s1: P-1018</w:t>
      </w:r>
    </w:p>
    <w:p w14:paraId="2A738762" w14:textId="4634C3BF" w:rsidR="0023342E" w:rsidRDefault="0023342E" w:rsidP="0023342E">
      <w:pPr>
        <w:pStyle w:val="ListParagraph"/>
        <w:numPr>
          <w:ilvl w:val="0"/>
          <w:numId w:val="6"/>
        </w:numPr>
        <w:spacing w:line="240" w:lineRule="auto"/>
      </w:pPr>
      <w:r w:rsidRPr="00C771E4">
        <w:rPr>
          <w:lang w:val="fr-CA"/>
        </w:rPr>
        <w:t xml:space="preserve">McGonigle AM, Patel EU, </w:t>
      </w:r>
      <w:r w:rsidR="00EC4831" w:rsidRPr="00C771E4">
        <w:rPr>
          <w:lang w:val="fr-CA"/>
        </w:rPr>
        <w:t>et al.</w:t>
      </w:r>
      <w:r w:rsidRPr="00C771E4">
        <w:rPr>
          <w:lang w:val="fr-CA"/>
        </w:rPr>
        <w:t xml:space="preserve"> </w:t>
      </w:r>
      <w:r>
        <w:t>Solvent detergent treated pooled plasma and reduction of allergic transfusion reactions. Transfusion 2020;60: 54-61.</w:t>
      </w:r>
    </w:p>
    <w:p w14:paraId="39E04E03" w14:textId="49F68062" w:rsidR="00EC4831" w:rsidRDefault="00EC4831" w:rsidP="00EC4831">
      <w:pPr>
        <w:pStyle w:val="ListParagraph"/>
        <w:numPr>
          <w:ilvl w:val="0"/>
          <w:numId w:val="6"/>
        </w:numPr>
        <w:spacing w:line="240" w:lineRule="auto"/>
      </w:pPr>
      <w:r>
        <w:t xml:space="preserve">Saadah NH, Schipperus MR, Wiersum-Osselton JC, </w:t>
      </w:r>
      <w:r w:rsidR="0050260E">
        <w:t>et al</w:t>
      </w:r>
      <w:r>
        <w:t>. Transition from fresh frozen plasma to solvent/detergent plasma in the Netherlands: comparing clinical use and transfusion reaction risks. Haematologica 2020;105: 1158-65.</w:t>
      </w:r>
    </w:p>
    <w:p w14:paraId="3D51A9F3" w14:textId="49475DC0" w:rsidR="00DC75F9" w:rsidRDefault="00DC75F9" w:rsidP="00DC75F9">
      <w:pPr>
        <w:pStyle w:val="ListParagraph"/>
        <w:numPr>
          <w:ilvl w:val="0"/>
          <w:numId w:val="6"/>
        </w:numPr>
        <w:spacing w:line="240" w:lineRule="auto"/>
      </w:pPr>
      <w:r>
        <w:t xml:space="preserve">Cushing MM, Pagano MB, Jacobson J, </w:t>
      </w:r>
      <w:r w:rsidR="0050260E">
        <w:t>et al.</w:t>
      </w:r>
      <w:r>
        <w:t xml:space="preserve"> Pathogen reduced plasma products: a clinical practice scientific review from the AABB. Transfusion 2019;59: 2974-88.</w:t>
      </w:r>
    </w:p>
    <w:p w14:paraId="0CA91E5B" w14:textId="5C5AD9F9" w:rsidR="00DC75F9" w:rsidRDefault="00DC75F9" w:rsidP="00DC75F9">
      <w:pPr>
        <w:pStyle w:val="ListParagraph"/>
        <w:numPr>
          <w:ilvl w:val="0"/>
          <w:numId w:val="6"/>
        </w:numPr>
      </w:pPr>
      <w:r w:rsidRPr="0031350C">
        <w:t xml:space="preserve">Klanderman RB, van Mourik N, Eggermont D, </w:t>
      </w:r>
      <w:r w:rsidR="0050260E">
        <w:t>et al.</w:t>
      </w:r>
      <w:r w:rsidRPr="0031350C">
        <w:t xml:space="preserve"> Incidence of transfusion-related acute lung injury temporally associated with solvent/detergent plasma use in the ICU: A retrospective before and after implementation study. Transfusion 2022;62: 1752-62.</w:t>
      </w:r>
    </w:p>
    <w:p w14:paraId="6584E4C3" w14:textId="4245567A" w:rsidR="00060563" w:rsidRDefault="00ED1BD3" w:rsidP="00060563">
      <w:pPr>
        <w:pStyle w:val="ListParagraph"/>
        <w:numPr>
          <w:ilvl w:val="0"/>
          <w:numId w:val="6"/>
        </w:numPr>
        <w:spacing w:line="240" w:lineRule="auto"/>
      </w:pPr>
      <w:r w:rsidRPr="00ED1BD3">
        <w:t>FAQ: Solvent detergent (S/D) treated plasma (Octaplasma)</w:t>
      </w:r>
      <w:r w:rsidR="00B93B67">
        <w:t>. Ottawa, Canadian Blood Services, 2022</w:t>
      </w:r>
      <w:r w:rsidR="00094292">
        <w:t xml:space="preserve"> [cited 2023 0301] Available from: </w:t>
      </w:r>
      <w:hyperlink r:id="rId11" w:history="1">
        <w:r w:rsidR="00060563" w:rsidRPr="0023342E">
          <w:rPr>
            <w:rStyle w:val="Hyperlink"/>
          </w:rPr>
          <w:t>https://profedu.blood.ca/en/transfusion/publications/faq-solvent-detergent-sd-treated-plasma-octaplasma</w:t>
        </w:r>
      </w:hyperlink>
    </w:p>
    <w:p w14:paraId="72890C85" w14:textId="05CBD2F2" w:rsidR="00FB6D97" w:rsidRPr="00FB6D97" w:rsidRDefault="00FB6D97" w:rsidP="00FB6D97">
      <w:pPr>
        <w:pStyle w:val="ListParagraph"/>
        <w:numPr>
          <w:ilvl w:val="0"/>
          <w:numId w:val="6"/>
        </w:numPr>
      </w:pPr>
      <w:r w:rsidRPr="00FB6D97">
        <w:t xml:space="preserve">O'Shaughnessy DF, Atterbury C, Bolton Maggs P, </w:t>
      </w:r>
      <w:r w:rsidR="0050260E">
        <w:t xml:space="preserve">et al. </w:t>
      </w:r>
      <w:r w:rsidRPr="00FB6D97">
        <w:t>British Committee for Standards in Haematology, Blood Transfusion Task Force. Guidelines for the use of fresh-frozen plasma, cryoprecipitate and cryosupernatant. .Br J Haematol. 2004;126:11-28</w:t>
      </w:r>
    </w:p>
    <w:p w14:paraId="0430CD97" w14:textId="094AB404" w:rsidR="0000546B" w:rsidRDefault="0000546B" w:rsidP="00714E99">
      <w:pPr>
        <w:pStyle w:val="ListParagraph"/>
        <w:numPr>
          <w:ilvl w:val="0"/>
          <w:numId w:val="6"/>
        </w:numPr>
        <w:rPr>
          <w:lang w:val="en-US"/>
        </w:rPr>
      </w:pPr>
      <w:r w:rsidRPr="0000546B">
        <w:rPr>
          <w:lang w:val="en-US"/>
        </w:rPr>
        <w:t xml:space="preserve">Davidson JC, Rahim S, Hanks SE, </w:t>
      </w:r>
      <w:r>
        <w:rPr>
          <w:lang w:val="en-US"/>
        </w:rPr>
        <w:t>et al</w:t>
      </w:r>
      <w:r w:rsidRPr="0000546B">
        <w:rPr>
          <w:lang w:val="en-US"/>
        </w:rPr>
        <w:t>. Society of Interventional Radiology Consensus Guidelines for the Periprocedural Management of Thrombotic and Bleeding Risk in Patients Undergoing Percutaneous Image-Guided Interventions-Part I: Review of Anticoagulation Agents and Clinical Considerations: Endorsed by the Canadian Association for Interventional Radiology and the Cardiovascular and Interventional Radiological Society of Europe. J Vasc Interv Radiol. 2019 Aug;30(8):1155-1167.</w:t>
      </w:r>
    </w:p>
    <w:p w14:paraId="762B81E2" w14:textId="6B8C65F8" w:rsidR="00714E99" w:rsidRPr="003856E0" w:rsidRDefault="00714E99" w:rsidP="00714E99">
      <w:pPr>
        <w:pStyle w:val="ListParagraph"/>
        <w:numPr>
          <w:ilvl w:val="0"/>
          <w:numId w:val="6"/>
        </w:numPr>
        <w:rPr>
          <w:lang w:val="en-US"/>
        </w:rPr>
      </w:pPr>
      <w:r w:rsidRPr="00CB7F1D">
        <w:rPr>
          <w:lang w:val="en-US"/>
        </w:rPr>
        <w:t xml:space="preserve">Khandelwal A, Clarke G, Goldman M. Anaphylactic transfusion reactions and IgA deficiency [Internet]. Ottawa: Canadian Blood Services; 2021 [cited </w:t>
      </w:r>
      <w:r>
        <w:rPr>
          <w:lang w:val="en-US"/>
        </w:rPr>
        <w:t>2023</w:t>
      </w:r>
      <w:r w:rsidRPr="00CB7F1D">
        <w:rPr>
          <w:lang w:val="en-US"/>
        </w:rPr>
        <w:t xml:space="preserve"> </w:t>
      </w:r>
      <w:r>
        <w:rPr>
          <w:lang w:val="en-US"/>
        </w:rPr>
        <w:t>02</w:t>
      </w:r>
      <w:r w:rsidRPr="00CB7F1D">
        <w:rPr>
          <w:lang w:val="en-US"/>
        </w:rPr>
        <w:t xml:space="preserve"> </w:t>
      </w:r>
      <w:r>
        <w:rPr>
          <w:lang w:val="en-US"/>
        </w:rPr>
        <w:t>24</w:t>
      </w:r>
      <w:r w:rsidRPr="00CB7F1D">
        <w:rPr>
          <w:lang w:val="en-US"/>
        </w:rPr>
        <w:t>]. Available from: professionaleducation.blood.ca/en/transfusion/publications/anaphylactic-transfusion-reactions-and-iga-deficiency</w:t>
      </w:r>
    </w:p>
    <w:p w14:paraId="26E4A3E3" w14:textId="77777777" w:rsidR="007958F2" w:rsidRPr="00FA2840" w:rsidRDefault="007958F2" w:rsidP="007958F2">
      <w:pPr>
        <w:pStyle w:val="ListParagraph"/>
        <w:numPr>
          <w:ilvl w:val="0"/>
          <w:numId w:val="6"/>
        </w:numPr>
        <w:spacing w:line="240" w:lineRule="auto"/>
      </w:pPr>
      <w:r w:rsidRPr="00FA2840">
        <w:t xml:space="preserve">Spinella PC, Borasino S, Alten J. Solvent/Detergent-Treated Plasma in the Management of Pediatric Patients Who Require Replacement of Multiple Coagulation Factors: An Open-Label, Multicenter, Post-marketing Study. Front Pediatr. 2020;8:572. </w:t>
      </w:r>
    </w:p>
    <w:p w14:paraId="2C7013CF" w14:textId="77777777" w:rsidR="007958F2" w:rsidRDefault="007958F2" w:rsidP="007958F2">
      <w:pPr>
        <w:pStyle w:val="ListParagraph"/>
        <w:numPr>
          <w:ilvl w:val="0"/>
          <w:numId w:val="6"/>
        </w:numPr>
        <w:spacing w:line="240" w:lineRule="auto"/>
      </w:pPr>
      <w:r w:rsidRPr="00FA345F">
        <w:t>Josephson CD, Goldstein S, Askenazi D</w:t>
      </w:r>
      <w:r>
        <w:t xml:space="preserve"> et al. </w:t>
      </w:r>
      <w:r w:rsidRPr="00FA345F">
        <w:t>Safety and tolerability of solvent/detergent-treated plasma for pediatric patients requiring therapeutic plasma exchange: An open-label, multicenter, postmarketing study. Transfusion. 2022;62:396-405</w:t>
      </w:r>
    </w:p>
    <w:p w14:paraId="0D08DCDD" w14:textId="331E74EB" w:rsidR="0023342E" w:rsidRDefault="007958F2" w:rsidP="00BC0A82">
      <w:pPr>
        <w:pStyle w:val="ListParagraph"/>
        <w:numPr>
          <w:ilvl w:val="0"/>
          <w:numId w:val="6"/>
        </w:numPr>
      </w:pPr>
      <w:r>
        <w:rPr>
          <w:rFonts w:eastAsia="Times New Roman"/>
        </w:rPr>
        <w:t>Camazine MN, Karam O, Colvin R, et al. Outcomes Related to the Use of Frozen Plasma or Pooled Solvent/Detergent-Treated Plasma in Critically Ill Children*. Pediatric Critical Care Medicine. 2017;18(5):e215–23</w:t>
      </w:r>
    </w:p>
    <w:p w14:paraId="02CCE6E1" w14:textId="17A8E8FF" w:rsidR="007958F2" w:rsidRDefault="007958F2" w:rsidP="007958F2">
      <w:pPr>
        <w:pStyle w:val="ListParagraph"/>
        <w:numPr>
          <w:ilvl w:val="0"/>
          <w:numId w:val="6"/>
        </w:numPr>
        <w:rPr>
          <w:lang w:val="en-US"/>
        </w:rPr>
      </w:pPr>
      <w:r w:rsidRPr="00A02290">
        <w:rPr>
          <w:lang w:val="en-US"/>
        </w:rPr>
        <w:lastRenderedPageBreak/>
        <w:t xml:space="preserve">Chekrizova V and Murphy WG. Solvent-detergent plasma: use in neonatal patients, in adult and paediatric patients with liver disease and in obstetric and gynaecological emergencies. Trans. Med. </w:t>
      </w:r>
      <w:r w:rsidR="00390CB7">
        <w:rPr>
          <w:lang w:val="en-US"/>
        </w:rPr>
        <w:t>2006;</w:t>
      </w:r>
      <w:r w:rsidRPr="00A02290">
        <w:rPr>
          <w:lang w:val="en-US"/>
        </w:rPr>
        <w:t>16:85-91.</w:t>
      </w:r>
    </w:p>
    <w:p w14:paraId="113F2BB6" w14:textId="54A8679E" w:rsidR="00D37EE5" w:rsidRDefault="00D37EE5" w:rsidP="00BC0A82">
      <w:pPr>
        <w:pStyle w:val="ListParagraph"/>
        <w:numPr>
          <w:ilvl w:val="0"/>
          <w:numId w:val="6"/>
        </w:numPr>
        <w:spacing w:line="240" w:lineRule="auto"/>
      </w:pPr>
      <w:r w:rsidRPr="00D37EE5">
        <w:t xml:space="preserve">Canadian Product Monograph, Octaplasma®, </w:t>
      </w:r>
      <w:r w:rsidR="00A732B7">
        <w:t>May</w:t>
      </w:r>
      <w:r w:rsidR="001A6030">
        <w:t xml:space="preserve"> 14 2020</w:t>
      </w:r>
      <w:r w:rsidR="009405C4">
        <w:t xml:space="preserve">, </w:t>
      </w:r>
      <w:r w:rsidR="009405C4" w:rsidRPr="009405C4">
        <w:t>https://www.octapharma.ca/api/download/x/9775dbca5e/octaplasma-pm-en-20200514.pdf</w:t>
      </w:r>
      <w:r w:rsidRPr="00D37EE5">
        <w:t xml:space="preserve">  </w:t>
      </w:r>
    </w:p>
    <w:p w14:paraId="2B83C75F" w14:textId="77777777" w:rsidR="00B0630F" w:rsidRDefault="00B0630F" w:rsidP="00B0630F">
      <w:pPr>
        <w:pStyle w:val="ListParagraph"/>
        <w:numPr>
          <w:ilvl w:val="0"/>
          <w:numId w:val="6"/>
        </w:numPr>
        <w:spacing w:after="0" w:line="240" w:lineRule="auto"/>
      </w:pPr>
      <w:r>
        <w:t>Freeman JW, Williamson LM, Llewelyn C, et al. A randomized trial of solvent/detergent and standard fresh frozen plasma in the treatment of the coagulopathy seen during orthotopic liver transplantation. Vox Sanguinis. 1998;74(S1):225-229.</w:t>
      </w:r>
    </w:p>
    <w:p w14:paraId="7984585B" w14:textId="77777777" w:rsidR="00B0630F" w:rsidRDefault="00B0630F" w:rsidP="00B0630F">
      <w:pPr>
        <w:pStyle w:val="ListParagraph"/>
        <w:numPr>
          <w:ilvl w:val="0"/>
          <w:numId w:val="6"/>
        </w:numPr>
        <w:spacing w:after="0" w:line="240" w:lineRule="auto"/>
      </w:pPr>
      <w:r>
        <w:t>Williamson LM, Llewelyn CA, Fisher NC, et al. A randomized trial of solvent/detergent-treated and standard fresh-frozen plasma in the coagulopathy of liver disease and liver transplantation: SD-treated plasma in coagulopathy of liver disease. Transfusion. 1999;39(11-12):1227-1234.</w:t>
      </w:r>
    </w:p>
    <w:p w14:paraId="653E9AE2" w14:textId="2C512D39" w:rsidR="00B0630F" w:rsidRDefault="00B0630F" w:rsidP="00B0630F">
      <w:pPr>
        <w:pStyle w:val="ListParagraph"/>
        <w:numPr>
          <w:ilvl w:val="0"/>
          <w:numId w:val="6"/>
        </w:numPr>
        <w:spacing w:after="0" w:line="240" w:lineRule="auto"/>
      </w:pPr>
      <w:r w:rsidRPr="00C771E4">
        <w:rPr>
          <w:lang w:val="fr-CA"/>
        </w:rPr>
        <w:t xml:space="preserve">Bindi ML, Miccoli M, Marietta M, et al. </w:t>
      </w:r>
      <w:r>
        <w:t>Solvent detergent vs. fresh frozen plasma in cirrhotic patients undergoing liver transplant surgery: a prospective randomized control study. Vox Sang. 2013;105:137-143</w:t>
      </w:r>
    </w:p>
    <w:p w14:paraId="53FB5E8C" w14:textId="7542974B" w:rsidR="00135E7D" w:rsidRDefault="00135E7D" w:rsidP="007F3ECC">
      <w:pPr>
        <w:pStyle w:val="ListParagraph"/>
        <w:numPr>
          <w:ilvl w:val="0"/>
          <w:numId w:val="6"/>
        </w:numPr>
        <w:spacing w:line="240" w:lineRule="auto"/>
      </w:pPr>
      <w:r w:rsidRPr="00135E7D">
        <w:t xml:space="preserve">Scully M, Longair I, Flynn M, </w:t>
      </w:r>
      <w:r w:rsidR="00464B22">
        <w:t>et al.</w:t>
      </w:r>
      <w:r w:rsidRPr="00135E7D">
        <w:t xml:space="preserve"> Cryosupernatant and solvent detergent fresh-frozen plasma (Octaplas) usage at a single centre in acute thrombotic thrombocytopenic purpura. Vox Sanguinis. 2007</w:t>
      </w:r>
    </w:p>
    <w:p w14:paraId="79DDD73F" w14:textId="6DB4B9C0" w:rsidR="0015595E" w:rsidRDefault="0015595E" w:rsidP="007F3ECC">
      <w:pPr>
        <w:pStyle w:val="ListParagraph"/>
        <w:numPr>
          <w:ilvl w:val="0"/>
          <w:numId w:val="6"/>
        </w:numPr>
        <w:spacing w:line="240" w:lineRule="auto"/>
      </w:pPr>
      <w:r w:rsidRPr="0015595E">
        <w:t xml:space="preserve">Edel E, Al-Ali HK, Seeger S, </w:t>
      </w:r>
      <w:r w:rsidR="00464B22">
        <w:t>et al</w:t>
      </w:r>
      <w:r w:rsidRPr="0015595E">
        <w:t>. Efficacy and Safety Profile of Solvent/Detergent Plasma in the Treatment of Acute Thrombotic Thrombocytopenic Purpura: A Single-Center Experience. Transfusion Medicine and Hemotherapy : Offizielles Organ der Deutschen Gesellschaft fur Transfusionsmedizin und Immunhamatologie. 2010 ;37(1):13-19.</w:t>
      </w:r>
    </w:p>
    <w:p w14:paraId="715B2D6B" w14:textId="32389DDC" w:rsidR="00951B30" w:rsidRDefault="00951B30" w:rsidP="007F3ECC">
      <w:pPr>
        <w:pStyle w:val="ListParagraph"/>
        <w:numPr>
          <w:ilvl w:val="0"/>
          <w:numId w:val="6"/>
        </w:numPr>
        <w:spacing w:line="240" w:lineRule="auto"/>
      </w:pPr>
      <w:r w:rsidRPr="00951B30">
        <w:t xml:space="preserve">Harrison CN, Lawrie AS, Iqbal A, Hunter A, Machin SJ. Plasma exchange with </w:t>
      </w:r>
      <w:r w:rsidRPr="00DF5E34">
        <w:t>solvent/detergent</w:t>
      </w:r>
      <w:r w:rsidR="00C771E4" w:rsidRPr="00DF5E34">
        <w:t xml:space="preserve"> </w:t>
      </w:r>
      <w:r w:rsidRPr="00DF5E34">
        <w:t>treated plasma</w:t>
      </w:r>
      <w:r w:rsidRPr="00951B30">
        <w:t xml:space="preserve"> of resistant thrombotic thrombocytopenic purpura. Br J Haematol. 1996;94:756–758.</w:t>
      </w:r>
    </w:p>
    <w:p w14:paraId="1A8A2ED1" w14:textId="5733944B" w:rsidR="00B0630F" w:rsidRDefault="00102BB8" w:rsidP="007F3ECC">
      <w:pPr>
        <w:pStyle w:val="ListParagraph"/>
        <w:numPr>
          <w:ilvl w:val="0"/>
          <w:numId w:val="6"/>
        </w:numPr>
        <w:spacing w:line="240" w:lineRule="auto"/>
      </w:pPr>
      <w:r w:rsidRPr="00102BB8">
        <w:t xml:space="preserve">Rock G, Shumak KH, Sutton DM, </w:t>
      </w:r>
      <w:r w:rsidR="00464B22">
        <w:t>et al</w:t>
      </w:r>
      <w:r w:rsidRPr="00102BB8">
        <w:t>. Cryosupernatant as replacement fluid for plasma exchange in thrombotic thrombocytopenic purpura. Members of the Canadian Apheresis Group. Br J Haematol. 1996;94(2):383-6</w:t>
      </w:r>
    </w:p>
    <w:p w14:paraId="300707AF" w14:textId="16B94944" w:rsidR="00B0630F" w:rsidRDefault="00D855E4" w:rsidP="007F3ECC">
      <w:pPr>
        <w:pStyle w:val="ListParagraph"/>
        <w:numPr>
          <w:ilvl w:val="0"/>
          <w:numId w:val="6"/>
        </w:numPr>
        <w:spacing w:line="240" w:lineRule="auto"/>
      </w:pPr>
      <w:r w:rsidRPr="00D855E4">
        <w:t xml:space="preserve">Rock G, Anderson D, Clark W, </w:t>
      </w:r>
      <w:r w:rsidR="00464B22">
        <w:t>et al.</w:t>
      </w:r>
      <w:r w:rsidRPr="00D855E4">
        <w:t xml:space="preserve"> Canadian Apheresis Group; Canadian Association of Apheresis Nurses. Does cryosupernatant plasma improve outcome in thrombotic thrombocytopenic purpura? No answer yet. Br J Haematol. 2005;129(1):79-86.</w:t>
      </w:r>
    </w:p>
    <w:p w14:paraId="1A11735E" w14:textId="5163D727" w:rsidR="00C91259" w:rsidRDefault="00337452" w:rsidP="007F3ECC">
      <w:pPr>
        <w:pStyle w:val="ListParagraph"/>
        <w:numPr>
          <w:ilvl w:val="0"/>
          <w:numId w:val="6"/>
        </w:numPr>
        <w:spacing w:line="240" w:lineRule="auto"/>
      </w:pPr>
      <w:r>
        <w:t>Circular of information for the use of human blood Components: Plasma Components. Ottawa</w:t>
      </w:r>
      <w:r w:rsidR="00217EBA">
        <w:t>: Canada, November 2022</w:t>
      </w:r>
      <w:r w:rsidR="00F61B58">
        <w:t xml:space="preserve"> [cited 2023 03 01]. Available from: </w:t>
      </w:r>
      <w:r w:rsidR="00F61B58" w:rsidRPr="00F61B58">
        <w:t>https://www.blood.ca/sites/default/files/IM-00004_Revision_1.pdf</w:t>
      </w:r>
      <w:r w:rsidR="00F61B58">
        <w:t xml:space="preserve">. </w:t>
      </w:r>
      <w:r w:rsidR="00217EBA">
        <w:t xml:space="preserve"> </w:t>
      </w:r>
    </w:p>
    <w:p w14:paraId="1805649F" w14:textId="5A4894BF" w:rsidR="00337452" w:rsidRDefault="00337452" w:rsidP="00337452">
      <w:pPr>
        <w:pStyle w:val="ListParagraph"/>
        <w:numPr>
          <w:ilvl w:val="0"/>
          <w:numId w:val="6"/>
        </w:numPr>
        <w:spacing w:line="240" w:lineRule="auto"/>
      </w:pPr>
      <w:r>
        <w:t xml:space="preserve">Sheffield WP, Bhakta V, Talbot K, </w:t>
      </w:r>
      <w:r w:rsidR="00464B22">
        <w:t>et al.</w:t>
      </w:r>
      <w:r>
        <w:t xml:space="preserve"> Quality of frozen transfusable plasma prepared from whole blood donations in Canada: an update. Transfus Apher Sci. 2013 Dec;49(3):440-6</w:t>
      </w:r>
    </w:p>
    <w:p w14:paraId="6E3514CF" w14:textId="3021BFBF" w:rsidR="0045187B" w:rsidRDefault="00466710" w:rsidP="007F3ECC">
      <w:pPr>
        <w:pStyle w:val="ListParagraph"/>
        <w:numPr>
          <w:ilvl w:val="0"/>
          <w:numId w:val="6"/>
        </w:numPr>
        <w:spacing w:line="240" w:lineRule="auto"/>
      </w:pPr>
      <w:r w:rsidRPr="00466710">
        <w:t xml:space="preserve">Gupta A, Bigham M. Blood components. In: Clarke G, Chargé S, editors. Clinical Guide to Transfusion [Internet]. Ottawa: Canadian Blood Services, 2021 [cited </w:t>
      </w:r>
      <w:r w:rsidR="00094292">
        <w:t>2023</w:t>
      </w:r>
      <w:r w:rsidR="00012538">
        <w:t xml:space="preserve"> 03 01</w:t>
      </w:r>
      <w:r w:rsidRPr="00466710">
        <w:t xml:space="preserve">]. Chapter 2.  Available from: </w:t>
      </w:r>
      <w:hyperlink r:id="rId12" w:history="1">
        <w:r w:rsidR="00F61B58" w:rsidRPr="00E43607">
          <w:rPr>
            <w:rStyle w:val="Hyperlink"/>
          </w:rPr>
          <w:t>https://professionaleducation.blood.ca</w:t>
        </w:r>
      </w:hyperlink>
      <w:r w:rsidR="00F61B58">
        <w:t>.</w:t>
      </w:r>
    </w:p>
    <w:p w14:paraId="3D79965D" w14:textId="25CE4C54" w:rsidR="00F61B58" w:rsidRDefault="00321053" w:rsidP="00321053">
      <w:pPr>
        <w:pStyle w:val="ListParagraph"/>
        <w:numPr>
          <w:ilvl w:val="0"/>
          <w:numId w:val="6"/>
        </w:numPr>
        <w:spacing w:line="240" w:lineRule="auto"/>
      </w:pPr>
      <w:r>
        <w:t>Callum JL, Dzik WH.. The use of blood components prior to invasive bedside procedures: a critical appraisal. In: Mintz PD (ed), Transfusion therapy: clinical principles and practice, 3rd edn. Bethesda: AABB Press, 2010: 1–35</w:t>
      </w:r>
    </w:p>
    <w:p w14:paraId="7EE2F618" w14:textId="0A244015" w:rsidR="00EC4161" w:rsidRDefault="00797FDB" w:rsidP="009F0549">
      <w:pPr>
        <w:pStyle w:val="ListParagraph"/>
        <w:numPr>
          <w:ilvl w:val="0"/>
          <w:numId w:val="6"/>
        </w:numPr>
        <w:spacing w:after="0" w:line="240" w:lineRule="auto"/>
      </w:pPr>
      <w:r>
        <w:t>Callum JL, Yeh CH, Petrosoniak</w:t>
      </w:r>
      <w:r w:rsidR="00A00A4B">
        <w:t xml:space="preserve"> A, et al. </w:t>
      </w:r>
      <w:r w:rsidR="00356187" w:rsidRPr="00356187">
        <w:t>A regional massive hemorrhage protocol developed through a modified Delphi technique</w:t>
      </w:r>
      <w:r>
        <w:t xml:space="preserve">. </w:t>
      </w:r>
      <w:r w:rsidR="00C71C4E" w:rsidRPr="00C71C4E">
        <w:t>CMAJ Open 2019. DOI:10.9778/cmajo.20190042</w:t>
      </w:r>
    </w:p>
    <w:p w14:paraId="2A6CC40C" w14:textId="65B9B7C8" w:rsidR="005C73D4" w:rsidRDefault="001A769C" w:rsidP="009F0549">
      <w:pPr>
        <w:pStyle w:val="ListParagraph"/>
        <w:numPr>
          <w:ilvl w:val="0"/>
          <w:numId w:val="6"/>
        </w:numPr>
        <w:spacing w:after="0" w:line="240" w:lineRule="auto"/>
      </w:pPr>
      <w:r w:rsidRPr="00C771E4">
        <w:rPr>
          <w:lang w:val="fr-CA"/>
        </w:rPr>
        <w:t xml:space="preserve">da Luz LT, Shah PS, Strauss R, </w:t>
      </w:r>
      <w:r w:rsidR="00464B22" w:rsidRPr="00C771E4">
        <w:rPr>
          <w:lang w:val="fr-CA"/>
        </w:rPr>
        <w:t>et al.</w:t>
      </w:r>
      <w:r w:rsidRPr="00C771E4">
        <w:rPr>
          <w:lang w:val="fr-CA"/>
        </w:rPr>
        <w:t xml:space="preserve">. </w:t>
      </w:r>
      <w:r w:rsidRPr="001A769C">
        <w:t>Does the evidence support the importance of high transfusion ratios of plasma and platelets to red blood cells in improving outcomes in severely injured patients: a systematic review and meta-analyses. Transfusion. 2019;59:3337-3349.</w:t>
      </w:r>
    </w:p>
    <w:p w14:paraId="30633154" w14:textId="1AF6D059" w:rsidR="005C73D4" w:rsidRDefault="005C73D4" w:rsidP="009F0549">
      <w:pPr>
        <w:pStyle w:val="ListParagraph"/>
        <w:numPr>
          <w:ilvl w:val="0"/>
          <w:numId w:val="6"/>
        </w:numPr>
        <w:spacing w:after="0" w:line="240" w:lineRule="auto"/>
      </w:pPr>
      <w:r w:rsidRPr="005C73D4">
        <w:lastRenderedPageBreak/>
        <w:t xml:space="preserve">Jason A. Gregory, Sonny S. </w:t>
      </w:r>
      <w:r w:rsidR="00464B22">
        <w:t>et al.</w:t>
      </w:r>
      <w:r w:rsidRPr="005C73D4">
        <w:t xml:space="preserve"> Optimizing Transfusion Ratios in Massive Transfusion Protocols: An Argument Against the 1:1:1 Dogma and Approach to Trauma Resuscitation, Laboratory Medicine, </w:t>
      </w:r>
      <w:r w:rsidR="00464B22">
        <w:t>2015</w:t>
      </w:r>
      <w:r w:rsidR="00DA72C9">
        <w:t>;</w:t>
      </w:r>
      <w:r w:rsidRPr="005C73D4">
        <w:t>46</w:t>
      </w:r>
      <w:r w:rsidR="00DA72C9">
        <w:t>:</w:t>
      </w:r>
      <w:r w:rsidRPr="005C73D4">
        <w:t>e46–e52</w:t>
      </w:r>
    </w:p>
    <w:p w14:paraId="471C60B7" w14:textId="4074035E" w:rsidR="004C6BA1" w:rsidRPr="003856E0" w:rsidRDefault="004C6BA1" w:rsidP="00BC0A82">
      <w:pPr>
        <w:rPr>
          <w:lang w:val="en-US"/>
        </w:rPr>
      </w:pPr>
    </w:p>
    <w:sectPr w:rsidR="004C6BA1" w:rsidRPr="003856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264FF" w14:textId="77777777" w:rsidR="00151BAA" w:rsidRDefault="00151BAA" w:rsidP="005A6FE0">
      <w:pPr>
        <w:spacing w:after="0" w:line="240" w:lineRule="auto"/>
      </w:pPr>
      <w:r>
        <w:separator/>
      </w:r>
    </w:p>
  </w:endnote>
  <w:endnote w:type="continuationSeparator" w:id="0">
    <w:p w14:paraId="13BAF8F9" w14:textId="77777777" w:rsidR="00151BAA" w:rsidRDefault="00151BAA" w:rsidP="005A6FE0">
      <w:pPr>
        <w:spacing w:after="0" w:line="240" w:lineRule="auto"/>
      </w:pPr>
      <w:r>
        <w:continuationSeparator/>
      </w:r>
    </w:p>
  </w:endnote>
  <w:endnote w:type="continuationNotice" w:id="1">
    <w:p w14:paraId="7761F51D" w14:textId="77777777" w:rsidR="00151BAA" w:rsidRDefault="00151B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733E" w14:textId="77777777" w:rsidR="00C771E4" w:rsidRDefault="00C771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0079" w14:textId="01FFAAE5" w:rsidR="00FB7807" w:rsidRPr="009A2D8E" w:rsidRDefault="00FB7807" w:rsidP="00FB7807">
    <w:pPr>
      <w:pStyle w:val="Footer"/>
      <w:pBdr>
        <w:top w:val="single" w:sz="4" w:space="1" w:color="D9D9D9" w:themeColor="background1" w:themeShade="D9"/>
      </w:pBdr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V: 2023</w:t>
    </w:r>
    <w:r w:rsidR="00BC0A82">
      <w:rPr>
        <w:rFonts w:asciiTheme="majorHAnsi" w:hAnsiTheme="majorHAnsi" w:cstheme="majorHAnsi"/>
      </w:rPr>
      <w:t>0305</w:t>
    </w:r>
    <w:r w:rsidRPr="009A2D8E">
      <w:rPr>
        <w:rFonts w:asciiTheme="majorHAnsi" w:hAnsiTheme="majorHAnsi" w:cstheme="majorHAnsi"/>
      </w:rPr>
      <w:tab/>
    </w:r>
    <w:r w:rsidR="00BC0A82">
      <w:rPr>
        <w:rFonts w:asciiTheme="majorHAnsi" w:hAnsiTheme="majorHAnsi" w:cstheme="majorHAnsi"/>
      </w:rPr>
      <w:t>FINAL</w:t>
    </w:r>
    <w:r w:rsidRPr="009A2D8E">
      <w:rPr>
        <w:rFonts w:asciiTheme="majorHAnsi" w:hAnsiTheme="majorHAnsi" w:cstheme="majorHAnsi"/>
      </w:rPr>
      <w:tab/>
    </w:r>
    <w:sdt>
      <w:sdtPr>
        <w:rPr>
          <w:rFonts w:asciiTheme="majorHAnsi" w:hAnsiTheme="majorHAnsi" w:cstheme="majorHAnsi"/>
        </w:rPr>
        <w:id w:val="-130816703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9A2D8E">
          <w:rPr>
            <w:rFonts w:asciiTheme="majorHAnsi" w:hAnsiTheme="majorHAnsi" w:cstheme="majorHAnsi"/>
          </w:rPr>
          <w:fldChar w:fldCharType="begin"/>
        </w:r>
        <w:r w:rsidRPr="009A2D8E">
          <w:rPr>
            <w:rFonts w:asciiTheme="majorHAnsi" w:hAnsiTheme="majorHAnsi" w:cstheme="majorHAnsi"/>
          </w:rPr>
          <w:instrText xml:space="preserve"> PAGE   \* MERGEFORMAT </w:instrText>
        </w:r>
        <w:r w:rsidRPr="009A2D8E">
          <w:rPr>
            <w:rFonts w:asciiTheme="majorHAnsi" w:hAnsiTheme="majorHAnsi" w:cstheme="majorHAnsi"/>
          </w:rPr>
          <w:fldChar w:fldCharType="separate"/>
        </w:r>
        <w:r>
          <w:rPr>
            <w:rFonts w:asciiTheme="majorHAnsi" w:hAnsiTheme="majorHAnsi" w:cstheme="majorHAnsi"/>
          </w:rPr>
          <w:t>1</w:t>
        </w:r>
        <w:r w:rsidRPr="009A2D8E">
          <w:rPr>
            <w:rFonts w:asciiTheme="majorHAnsi" w:hAnsiTheme="majorHAnsi" w:cstheme="majorHAnsi"/>
            <w:noProof/>
          </w:rPr>
          <w:fldChar w:fldCharType="end"/>
        </w:r>
        <w:r w:rsidRPr="009A2D8E">
          <w:rPr>
            <w:rFonts w:asciiTheme="majorHAnsi" w:hAnsiTheme="majorHAnsi" w:cstheme="majorHAnsi"/>
          </w:rPr>
          <w:t xml:space="preserve"> | </w:t>
        </w:r>
        <w:r w:rsidRPr="009A2D8E">
          <w:rPr>
            <w:rFonts w:asciiTheme="majorHAnsi" w:hAnsiTheme="majorHAnsi" w:cstheme="majorHAnsi"/>
            <w:color w:val="7F7F7F" w:themeColor="background1" w:themeShade="7F"/>
            <w:spacing w:val="60"/>
          </w:rPr>
          <w:t>Page</w:t>
        </w:r>
      </w:sdtContent>
    </w:sdt>
  </w:p>
  <w:p w14:paraId="551787BB" w14:textId="77777777" w:rsidR="00FB7807" w:rsidRDefault="00FB78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F9F6" w14:textId="77777777" w:rsidR="00C771E4" w:rsidRDefault="00C77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C4EC5" w14:textId="77777777" w:rsidR="00151BAA" w:rsidRDefault="00151BAA" w:rsidP="005A6FE0">
      <w:pPr>
        <w:spacing w:after="0" w:line="240" w:lineRule="auto"/>
      </w:pPr>
      <w:r>
        <w:separator/>
      </w:r>
    </w:p>
  </w:footnote>
  <w:footnote w:type="continuationSeparator" w:id="0">
    <w:p w14:paraId="15EE1DF1" w14:textId="77777777" w:rsidR="00151BAA" w:rsidRDefault="00151BAA" w:rsidP="005A6FE0">
      <w:pPr>
        <w:spacing w:after="0" w:line="240" w:lineRule="auto"/>
      </w:pPr>
      <w:r>
        <w:continuationSeparator/>
      </w:r>
    </w:p>
  </w:footnote>
  <w:footnote w:type="continuationNotice" w:id="1">
    <w:p w14:paraId="6124F09A" w14:textId="77777777" w:rsidR="00151BAA" w:rsidRDefault="00151B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E7FD" w14:textId="77777777" w:rsidR="00C771E4" w:rsidRDefault="00C771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470CC" w14:textId="4BD006FE" w:rsidR="00FB7807" w:rsidRDefault="00FB7807">
    <w:pPr>
      <w:pStyle w:val="Header"/>
    </w:pPr>
    <w:r>
      <w:rPr>
        <w:noProof/>
        <w:color w:val="000000"/>
        <w:sz w:val="20"/>
        <w:szCs w:val="20"/>
        <w:lang w:val="en-US"/>
      </w:rPr>
      <w:drawing>
        <wp:anchor distT="0" distB="0" distL="0" distR="0" simplePos="0" relativeHeight="251658240" behindDoc="1" locked="0" layoutInCell="1" allowOverlap="1" wp14:anchorId="06A91F9C" wp14:editId="50E71098">
          <wp:simplePos x="0" y="0"/>
          <wp:positionH relativeFrom="margin">
            <wp:align>right</wp:align>
          </wp:positionH>
          <wp:positionV relativeFrom="page">
            <wp:posOffset>448945</wp:posOffset>
          </wp:positionV>
          <wp:extent cx="5486400" cy="342900"/>
          <wp:effectExtent l="0" t="0" r="0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F8C3A" w14:textId="77777777" w:rsidR="00C771E4" w:rsidRDefault="00C771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4533"/>
    <w:multiLevelType w:val="hybridMultilevel"/>
    <w:tmpl w:val="03F2A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0131"/>
    <w:multiLevelType w:val="hybridMultilevel"/>
    <w:tmpl w:val="D3B8B9E2"/>
    <w:lvl w:ilvl="0" w:tplc="E18670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7730"/>
    <w:multiLevelType w:val="hybridMultilevel"/>
    <w:tmpl w:val="8BC4797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66181"/>
    <w:multiLevelType w:val="hybridMultilevel"/>
    <w:tmpl w:val="7AE2BF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E21A1"/>
    <w:multiLevelType w:val="hybridMultilevel"/>
    <w:tmpl w:val="8C3AF79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B32AF2"/>
    <w:multiLevelType w:val="hybridMultilevel"/>
    <w:tmpl w:val="D042ED72"/>
    <w:lvl w:ilvl="0" w:tplc="5CEC5F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C1ABA"/>
    <w:multiLevelType w:val="hybridMultilevel"/>
    <w:tmpl w:val="6366DE44"/>
    <w:lvl w:ilvl="0" w:tplc="5CEC5F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514AB"/>
    <w:multiLevelType w:val="hybridMultilevel"/>
    <w:tmpl w:val="6366DE44"/>
    <w:lvl w:ilvl="0" w:tplc="5CEC5F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6364A"/>
    <w:multiLevelType w:val="hybridMultilevel"/>
    <w:tmpl w:val="BB38C3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C77E7"/>
    <w:multiLevelType w:val="hybridMultilevel"/>
    <w:tmpl w:val="5A9EC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32CA7"/>
    <w:multiLevelType w:val="hybridMultilevel"/>
    <w:tmpl w:val="A5A2AD88"/>
    <w:lvl w:ilvl="0" w:tplc="B876FF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80684"/>
    <w:multiLevelType w:val="hybridMultilevel"/>
    <w:tmpl w:val="BD68F244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F66229"/>
    <w:multiLevelType w:val="hybridMultilevel"/>
    <w:tmpl w:val="77C08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96ED31C">
      <w:start w:val="2"/>
      <w:numFmt w:val="bullet"/>
      <w:lvlText w:val="•"/>
      <w:lvlJc w:val="left"/>
      <w:pPr>
        <w:ind w:left="2880" w:hanging="720"/>
      </w:pPr>
      <w:rPr>
        <w:rFonts w:ascii="Calibri" w:eastAsiaTheme="minorHAns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C5"/>
    <w:rsid w:val="00003303"/>
    <w:rsid w:val="0000546B"/>
    <w:rsid w:val="00010C52"/>
    <w:rsid w:val="00012538"/>
    <w:rsid w:val="0001439F"/>
    <w:rsid w:val="000150BC"/>
    <w:rsid w:val="00017E56"/>
    <w:rsid w:val="00023914"/>
    <w:rsid w:val="00024ADD"/>
    <w:rsid w:val="00025810"/>
    <w:rsid w:val="00026245"/>
    <w:rsid w:val="00027BB9"/>
    <w:rsid w:val="00027E2F"/>
    <w:rsid w:val="0003286B"/>
    <w:rsid w:val="000504E8"/>
    <w:rsid w:val="00051573"/>
    <w:rsid w:val="0005178F"/>
    <w:rsid w:val="000521F3"/>
    <w:rsid w:val="0005324E"/>
    <w:rsid w:val="00055E24"/>
    <w:rsid w:val="00056768"/>
    <w:rsid w:val="00060563"/>
    <w:rsid w:val="00064E8C"/>
    <w:rsid w:val="00065170"/>
    <w:rsid w:val="0007345B"/>
    <w:rsid w:val="00092155"/>
    <w:rsid w:val="00094292"/>
    <w:rsid w:val="00097E77"/>
    <w:rsid w:val="000A2745"/>
    <w:rsid w:val="000A32F7"/>
    <w:rsid w:val="000A3ACF"/>
    <w:rsid w:val="000A3DE7"/>
    <w:rsid w:val="000A7F11"/>
    <w:rsid w:val="000B3768"/>
    <w:rsid w:val="000B5377"/>
    <w:rsid w:val="000C101C"/>
    <w:rsid w:val="000C2B79"/>
    <w:rsid w:val="000C2D87"/>
    <w:rsid w:val="000D1DB8"/>
    <w:rsid w:val="000D2BEB"/>
    <w:rsid w:val="000D45D2"/>
    <w:rsid w:val="000D5C3E"/>
    <w:rsid w:val="000D6BEE"/>
    <w:rsid w:val="000D7CDE"/>
    <w:rsid w:val="000E3EB7"/>
    <w:rsid w:val="000E5A5F"/>
    <w:rsid w:val="000F4887"/>
    <w:rsid w:val="000F524D"/>
    <w:rsid w:val="00101C8D"/>
    <w:rsid w:val="00102BB8"/>
    <w:rsid w:val="0010307D"/>
    <w:rsid w:val="001046BA"/>
    <w:rsid w:val="00107B04"/>
    <w:rsid w:val="00113DD5"/>
    <w:rsid w:val="00114DC3"/>
    <w:rsid w:val="00114E00"/>
    <w:rsid w:val="0011657C"/>
    <w:rsid w:val="00123EE7"/>
    <w:rsid w:val="00126342"/>
    <w:rsid w:val="00126CA4"/>
    <w:rsid w:val="00126EA8"/>
    <w:rsid w:val="00132527"/>
    <w:rsid w:val="001347EA"/>
    <w:rsid w:val="00135E7D"/>
    <w:rsid w:val="00135E8D"/>
    <w:rsid w:val="00144A41"/>
    <w:rsid w:val="00150667"/>
    <w:rsid w:val="00151BAA"/>
    <w:rsid w:val="001531BB"/>
    <w:rsid w:val="00154F89"/>
    <w:rsid w:val="0015595E"/>
    <w:rsid w:val="00156498"/>
    <w:rsid w:val="00163AB1"/>
    <w:rsid w:val="00163E5E"/>
    <w:rsid w:val="00163F3E"/>
    <w:rsid w:val="0016471F"/>
    <w:rsid w:val="001673B3"/>
    <w:rsid w:val="001727A8"/>
    <w:rsid w:val="00172B96"/>
    <w:rsid w:val="00183883"/>
    <w:rsid w:val="0019311B"/>
    <w:rsid w:val="001A1701"/>
    <w:rsid w:val="001A290D"/>
    <w:rsid w:val="001A6030"/>
    <w:rsid w:val="001A7274"/>
    <w:rsid w:val="001A769C"/>
    <w:rsid w:val="001B1988"/>
    <w:rsid w:val="001B2650"/>
    <w:rsid w:val="001B6BE8"/>
    <w:rsid w:val="001C0DBC"/>
    <w:rsid w:val="001C25F0"/>
    <w:rsid w:val="001D1133"/>
    <w:rsid w:val="001E3067"/>
    <w:rsid w:val="001E73A0"/>
    <w:rsid w:val="001E78A2"/>
    <w:rsid w:val="001F0132"/>
    <w:rsid w:val="001F254A"/>
    <w:rsid w:val="001F3DAF"/>
    <w:rsid w:val="001F5BDC"/>
    <w:rsid w:val="00201DB7"/>
    <w:rsid w:val="00211B22"/>
    <w:rsid w:val="0021508E"/>
    <w:rsid w:val="002164D9"/>
    <w:rsid w:val="00217EBA"/>
    <w:rsid w:val="00223AF6"/>
    <w:rsid w:val="00223F56"/>
    <w:rsid w:val="0023342E"/>
    <w:rsid w:val="0023532B"/>
    <w:rsid w:val="00247640"/>
    <w:rsid w:val="00250D44"/>
    <w:rsid w:val="00267C61"/>
    <w:rsid w:val="00280E94"/>
    <w:rsid w:val="002815A6"/>
    <w:rsid w:val="00283260"/>
    <w:rsid w:val="00284A2A"/>
    <w:rsid w:val="00284A3E"/>
    <w:rsid w:val="00287713"/>
    <w:rsid w:val="00290FC1"/>
    <w:rsid w:val="002A4965"/>
    <w:rsid w:val="002A4C36"/>
    <w:rsid w:val="002A64E0"/>
    <w:rsid w:val="002B6DB2"/>
    <w:rsid w:val="002C74CB"/>
    <w:rsid w:val="002D0755"/>
    <w:rsid w:val="002D2AD5"/>
    <w:rsid w:val="002D3AC2"/>
    <w:rsid w:val="002D5434"/>
    <w:rsid w:val="002D59CB"/>
    <w:rsid w:val="002D64A2"/>
    <w:rsid w:val="002D7DEE"/>
    <w:rsid w:val="002E0498"/>
    <w:rsid w:val="002E1AE5"/>
    <w:rsid w:val="002E5E84"/>
    <w:rsid w:val="002E628D"/>
    <w:rsid w:val="002E675D"/>
    <w:rsid w:val="002E6FC0"/>
    <w:rsid w:val="002F1666"/>
    <w:rsid w:val="002F2860"/>
    <w:rsid w:val="002F423C"/>
    <w:rsid w:val="002F4F5E"/>
    <w:rsid w:val="002F71A7"/>
    <w:rsid w:val="002F7495"/>
    <w:rsid w:val="00311A09"/>
    <w:rsid w:val="00311FC7"/>
    <w:rsid w:val="0031350C"/>
    <w:rsid w:val="00321053"/>
    <w:rsid w:val="00325CB2"/>
    <w:rsid w:val="00331227"/>
    <w:rsid w:val="00332305"/>
    <w:rsid w:val="00337452"/>
    <w:rsid w:val="003452B5"/>
    <w:rsid w:val="003476BE"/>
    <w:rsid w:val="003521DF"/>
    <w:rsid w:val="0035329D"/>
    <w:rsid w:val="00353FAF"/>
    <w:rsid w:val="00355BE3"/>
    <w:rsid w:val="00356187"/>
    <w:rsid w:val="0036241E"/>
    <w:rsid w:val="00362776"/>
    <w:rsid w:val="00366150"/>
    <w:rsid w:val="00375EF6"/>
    <w:rsid w:val="003764AB"/>
    <w:rsid w:val="003825CA"/>
    <w:rsid w:val="00382BD7"/>
    <w:rsid w:val="00384513"/>
    <w:rsid w:val="003856E0"/>
    <w:rsid w:val="003863E1"/>
    <w:rsid w:val="00390CB7"/>
    <w:rsid w:val="003951BA"/>
    <w:rsid w:val="00397921"/>
    <w:rsid w:val="003A088F"/>
    <w:rsid w:val="003A26E1"/>
    <w:rsid w:val="003A2881"/>
    <w:rsid w:val="003B0E1A"/>
    <w:rsid w:val="003B205F"/>
    <w:rsid w:val="003B7533"/>
    <w:rsid w:val="003C768C"/>
    <w:rsid w:val="003D151E"/>
    <w:rsid w:val="003E27B5"/>
    <w:rsid w:val="003F2702"/>
    <w:rsid w:val="004009DD"/>
    <w:rsid w:val="00402C61"/>
    <w:rsid w:val="0040468F"/>
    <w:rsid w:val="00413E31"/>
    <w:rsid w:val="0041532D"/>
    <w:rsid w:val="00415B7A"/>
    <w:rsid w:val="00415F2E"/>
    <w:rsid w:val="00416C94"/>
    <w:rsid w:val="0042388C"/>
    <w:rsid w:val="00437AD1"/>
    <w:rsid w:val="00440AF7"/>
    <w:rsid w:val="0044185E"/>
    <w:rsid w:val="0044290A"/>
    <w:rsid w:val="0045187B"/>
    <w:rsid w:val="00453647"/>
    <w:rsid w:val="0045647D"/>
    <w:rsid w:val="00461BCA"/>
    <w:rsid w:val="004633EA"/>
    <w:rsid w:val="00463518"/>
    <w:rsid w:val="00464063"/>
    <w:rsid w:val="00464B22"/>
    <w:rsid w:val="0046637A"/>
    <w:rsid w:val="00466710"/>
    <w:rsid w:val="004713DB"/>
    <w:rsid w:val="004719F2"/>
    <w:rsid w:val="004730C6"/>
    <w:rsid w:val="004737A4"/>
    <w:rsid w:val="00480BAF"/>
    <w:rsid w:val="00485ACE"/>
    <w:rsid w:val="004879F5"/>
    <w:rsid w:val="00496F5D"/>
    <w:rsid w:val="004A0C27"/>
    <w:rsid w:val="004A6249"/>
    <w:rsid w:val="004B1A7D"/>
    <w:rsid w:val="004B4194"/>
    <w:rsid w:val="004C031B"/>
    <w:rsid w:val="004C105B"/>
    <w:rsid w:val="004C1DB1"/>
    <w:rsid w:val="004C6BA1"/>
    <w:rsid w:val="004D0C47"/>
    <w:rsid w:val="004D2262"/>
    <w:rsid w:val="004D26C0"/>
    <w:rsid w:val="004D2D6C"/>
    <w:rsid w:val="004D31A8"/>
    <w:rsid w:val="004D3C8E"/>
    <w:rsid w:val="004D3D32"/>
    <w:rsid w:val="004E206D"/>
    <w:rsid w:val="004E363E"/>
    <w:rsid w:val="004E6911"/>
    <w:rsid w:val="004E7D44"/>
    <w:rsid w:val="004F7681"/>
    <w:rsid w:val="0050106C"/>
    <w:rsid w:val="0050260E"/>
    <w:rsid w:val="00502E59"/>
    <w:rsid w:val="0050695B"/>
    <w:rsid w:val="00510907"/>
    <w:rsid w:val="005114F7"/>
    <w:rsid w:val="005169BC"/>
    <w:rsid w:val="00522B9C"/>
    <w:rsid w:val="005246D2"/>
    <w:rsid w:val="00526637"/>
    <w:rsid w:val="0053773F"/>
    <w:rsid w:val="005423B0"/>
    <w:rsid w:val="0054249A"/>
    <w:rsid w:val="00544F05"/>
    <w:rsid w:val="00550A0A"/>
    <w:rsid w:val="00557A34"/>
    <w:rsid w:val="00560B56"/>
    <w:rsid w:val="00561002"/>
    <w:rsid w:val="005703ED"/>
    <w:rsid w:val="00571A47"/>
    <w:rsid w:val="00571F89"/>
    <w:rsid w:val="0057473D"/>
    <w:rsid w:val="00580DFF"/>
    <w:rsid w:val="00584C80"/>
    <w:rsid w:val="005850C1"/>
    <w:rsid w:val="005854C6"/>
    <w:rsid w:val="00590CFE"/>
    <w:rsid w:val="005919A3"/>
    <w:rsid w:val="00595F59"/>
    <w:rsid w:val="005960DB"/>
    <w:rsid w:val="005A055C"/>
    <w:rsid w:val="005A6DF4"/>
    <w:rsid w:val="005A6FE0"/>
    <w:rsid w:val="005A7978"/>
    <w:rsid w:val="005B0678"/>
    <w:rsid w:val="005C0193"/>
    <w:rsid w:val="005C1DE3"/>
    <w:rsid w:val="005C73D4"/>
    <w:rsid w:val="005D0B4D"/>
    <w:rsid w:val="005D2CD1"/>
    <w:rsid w:val="005D3C39"/>
    <w:rsid w:val="005D5771"/>
    <w:rsid w:val="005D7064"/>
    <w:rsid w:val="005E0637"/>
    <w:rsid w:val="005E11E8"/>
    <w:rsid w:val="005E26BB"/>
    <w:rsid w:val="005E3AB8"/>
    <w:rsid w:val="005E3C74"/>
    <w:rsid w:val="005E7D2F"/>
    <w:rsid w:val="005F036C"/>
    <w:rsid w:val="005F3972"/>
    <w:rsid w:val="005F3B77"/>
    <w:rsid w:val="005F400B"/>
    <w:rsid w:val="005F47E6"/>
    <w:rsid w:val="005F509A"/>
    <w:rsid w:val="006157D8"/>
    <w:rsid w:val="00615B94"/>
    <w:rsid w:val="00616163"/>
    <w:rsid w:val="00622740"/>
    <w:rsid w:val="006232D1"/>
    <w:rsid w:val="0063029E"/>
    <w:rsid w:val="00630FF3"/>
    <w:rsid w:val="006365A6"/>
    <w:rsid w:val="006369DF"/>
    <w:rsid w:val="00644CDF"/>
    <w:rsid w:val="00650EFD"/>
    <w:rsid w:val="006532B4"/>
    <w:rsid w:val="0065678B"/>
    <w:rsid w:val="00662AF9"/>
    <w:rsid w:val="00664574"/>
    <w:rsid w:val="006718B4"/>
    <w:rsid w:val="00677742"/>
    <w:rsid w:val="00692268"/>
    <w:rsid w:val="00692326"/>
    <w:rsid w:val="0069301C"/>
    <w:rsid w:val="0069318C"/>
    <w:rsid w:val="006A30E7"/>
    <w:rsid w:val="006A3923"/>
    <w:rsid w:val="006A3BCD"/>
    <w:rsid w:val="006A6D9D"/>
    <w:rsid w:val="006B5993"/>
    <w:rsid w:val="006C0287"/>
    <w:rsid w:val="006C20CA"/>
    <w:rsid w:val="006C2252"/>
    <w:rsid w:val="006C365D"/>
    <w:rsid w:val="006C6DA5"/>
    <w:rsid w:val="006D07CE"/>
    <w:rsid w:val="006D1AD9"/>
    <w:rsid w:val="006D4B9B"/>
    <w:rsid w:val="006D6401"/>
    <w:rsid w:val="006E0E58"/>
    <w:rsid w:val="006E13DC"/>
    <w:rsid w:val="006F1E95"/>
    <w:rsid w:val="006F2874"/>
    <w:rsid w:val="006F2A15"/>
    <w:rsid w:val="006F3A12"/>
    <w:rsid w:val="006F6159"/>
    <w:rsid w:val="006F6996"/>
    <w:rsid w:val="00705698"/>
    <w:rsid w:val="00710EC2"/>
    <w:rsid w:val="007115D3"/>
    <w:rsid w:val="00714E99"/>
    <w:rsid w:val="007167A7"/>
    <w:rsid w:val="007229BB"/>
    <w:rsid w:val="007230EB"/>
    <w:rsid w:val="007235F0"/>
    <w:rsid w:val="0072428E"/>
    <w:rsid w:val="00724374"/>
    <w:rsid w:val="00727647"/>
    <w:rsid w:val="007410FD"/>
    <w:rsid w:val="007412AB"/>
    <w:rsid w:val="00741974"/>
    <w:rsid w:val="00742271"/>
    <w:rsid w:val="00746CAE"/>
    <w:rsid w:val="007510DD"/>
    <w:rsid w:val="0075201A"/>
    <w:rsid w:val="00754A75"/>
    <w:rsid w:val="00756D75"/>
    <w:rsid w:val="00757D2C"/>
    <w:rsid w:val="00760D27"/>
    <w:rsid w:val="00760E20"/>
    <w:rsid w:val="00764EEE"/>
    <w:rsid w:val="00764FF6"/>
    <w:rsid w:val="00781408"/>
    <w:rsid w:val="007826AD"/>
    <w:rsid w:val="0078496E"/>
    <w:rsid w:val="00785DDA"/>
    <w:rsid w:val="007866B5"/>
    <w:rsid w:val="00790047"/>
    <w:rsid w:val="007953FB"/>
    <w:rsid w:val="007958F2"/>
    <w:rsid w:val="00796B3F"/>
    <w:rsid w:val="00797FDB"/>
    <w:rsid w:val="007A43FF"/>
    <w:rsid w:val="007B05B0"/>
    <w:rsid w:val="007B22EB"/>
    <w:rsid w:val="007B461A"/>
    <w:rsid w:val="007B498B"/>
    <w:rsid w:val="007B5B39"/>
    <w:rsid w:val="007B713A"/>
    <w:rsid w:val="007C00D7"/>
    <w:rsid w:val="007C61BC"/>
    <w:rsid w:val="007C6FFD"/>
    <w:rsid w:val="007D0AC0"/>
    <w:rsid w:val="007D3690"/>
    <w:rsid w:val="007D3796"/>
    <w:rsid w:val="007D414F"/>
    <w:rsid w:val="007D671B"/>
    <w:rsid w:val="007E1145"/>
    <w:rsid w:val="007E3F5D"/>
    <w:rsid w:val="007E7E3C"/>
    <w:rsid w:val="007F2DEE"/>
    <w:rsid w:val="007F3412"/>
    <w:rsid w:val="007F3ECC"/>
    <w:rsid w:val="007F6067"/>
    <w:rsid w:val="008043FA"/>
    <w:rsid w:val="0080476D"/>
    <w:rsid w:val="00807363"/>
    <w:rsid w:val="00821BFB"/>
    <w:rsid w:val="00830E1C"/>
    <w:rsid w:val="00831411"/>
    <w:rsid w:val="00840DEB"/>
    <w:rsid w:val="0084310F"/>
    <w:rsid w:val="00853FD4"/>
    <w:rsid w:val="0085598A"/>
    <w:rsid w:val="008573B8"/>
    <w:rsid w:val="0086226E"/>
    <w:rsid w:val="00863726"/>
    <w:rsid w:val="00865363"/>
    <w:rsid w:val="008747F2"/>
    <w:rsid w:val="00884362"/>
    <w:rsid w:val="008906A1"/>
    <w:rsid w:val="00890BF0"/>
    <w:rsid w:val="0089306B"/>
    <w:rsid w:val="008946EC"/>
    <w:rsid w:val="00897BD6"/>
    <w:rsid w:val="008A0011"/>
    <w:rsid w:val="008A2752"/>
    <w:rsid w:val="008B5DF6"/>
    <w:rsid w:val="008B6661"/>
    <w:rsid w:val="008C07A8"/>
    <w:rsid w:val="008C2A90"/>
    <w:rsid w:val="008C5073"/>
    <w:rsid w:val="008C6FA7"/>
    <w:rsid w:val="008D4EE2"/>
    <w:rsid w:val="008D702D"/>
    <w:rsid w:val="008D7791"/>
    <w:rsid w:val="008E379C"/>
    <w:rsid w:val="008F0030"/>
    <w:rsid w:val="008F0E94"/>
    <w:rsid w:val="008F2310"/>
    <w:rsid w:val="008F3AB0"/>
    <w:rsid w:val="008F51A6"/>
    <w:rsid w:val="008F526A"/>
    <w:rsid w:val="00901D55"/>
    <w:rsid w:val="009050C7"/>
    <w:rsid w:val="0091522E"/>
    <w:rsid w:val="00917456"/>
    <w:rsid w:val="0091762B"/>
    <w:rsid w:val="00920692"/>
    <w:rsid w:val="00921F28"/>
    <w:rsid w:val="009245B5"/>
    <w:rsid w:val="009345BD"/>
    <w:rsid w:val="009379B0"/>
    <w:rsid w:val="009405C4"/>
    <w:rsid w:val="0094505A"/>
    <w:rsid w:val="00947E48"/>
    <w:rsid w:val="00951B30"/>
    <w:rsid w:val="0095225E"/>
    <w:rsid w:val="009535E8"/>
    <w:rsid w:val="009555B9"/>
    <w:rsid w:val="00960F92"/>
    <w:rsid w:val="009611BE"/>
    <w:rsid w:val="00961A0A"/>
    <w:rsid w:val="00963611"/>
    <w:rsid w:val="00963956"/>
    <w:rsid w:val="00964B09"/>
    <w:rsid w:val="009654E5"/>
    <w:rsid w:val="00973DC6"/>
    <w:rsid w:val="00982E81"/>
    <w:rsid w:val="009840C5"/>
    <w:rsid w:val="00984EF2"/>
    <w:rsid w:val="00990806"/>
    <w:rsid w:val="00992307"/>
    <w:rsid w:val="00993CE8"/>
    <w:rsid w:val="009965F4"/>
    <w:rsid w:val="009A1BE7"/>
    <w:rsid w:val="009A2790"/>
    <w:rsid w:val="009A39BD"/>
    <w:rsid w:val="009A742A"/>
    <w:rsid w:val="009A78B8"/>
    <w:rsid w:val="009B3419"/>
    <w:rsid w:val="009B4B37"/>
    <w:rsid w:val="009B735C"/>
    <w:rsid w:val="009D5A54"/>
    <w:rsid w:val="009D6488"/>
    <w:rsid w:val="009E4655"/>
    <w:rsid w:val="009E46B5"/>
    <w:rsid w:val="009F0549"/>
    <w:rsid w:val="009F1175"/>
    <w:rsid w:val="009F5563"/>
    <w:rsid w:val="009F6C89"/>
    <w:rsid w:val="00A00A4B"/>
    <w:rsid w:val="00A02290"/>
    <w:rsid w:val="00A026F0"/>
    <w:rsid w:val="00A04411"/>
    <w:rsid w:val="00A044E8"/>
    <w:rsid w:val="00A04CEC"/>
    <w:rsid w:val="00A0704B"/>
    <w:rsid w:val="00A13334"/>
    <w:rsid w:val="00A136D9"/>
    <w:rsid w:val="00A2269F"/>
    <w:rsid w:val="00A34C94"/>
    <w:rsid w:val="00A366D1"/>
    <w:rsid w:val="00A423AC"/>
    <w:rsid w:val="00A452CF"/>
    <w:rsid w:val="00A45D78"/>
    <w:rsid w:val="00A559D1"/>
    <w:rsid w:val="00A651D7"/>
    <w:rsid w:val="00A651DA"/>
    <w:rsid w:val="00A732B7"/>
    <w:rsid w:val="00A812BB"/>
    <w:rsid w:val="00A85D14"/>
    <w:rsid w:val="00A91297"/>
    <w:rsid w:val="00A953DC"/>
    <w:rsid w:val="00A95A49"/>
    <w:rsid w:val="00AA2929"/>
    <w:rsid w:val="00AA5F43"/>
    <w:rsid w:val="00AB41AF"/>
    <w:rsid w:val="00AC0BF1"/>
    <w:rsid w:val="00AC20C4"/>
    <w:rsid w:val="00AC47A6"/>
    <w:rsid w:val="00AC73F0"/>
    <w:rsid w:val="00AD1D0D"/>
    <w:rsid w:val="00AD362D"/>
    <w:rsid w:val="00AD7F6B"/>
    <w:rsid w:val="00AE3901"/>
    <w:rsid w:val="00AE6871"/>
    <w:rsid w:val="00AE6F65"/>
    <w:rsid w:val="00AF03E2"/>
    <w:rsid w:val="00AF2095"/>
    <w:rsid w:val="00AF3BA2"/>
    <w:rsid w:val="00B01828"/>
    <w:rsid w:val="00B0553C"/>
    <w:rsid w:val="00B0630F"/>
    <w:rsid w:val="00B11747"/>
    <w:rsid w:val="00B1610E"/>
    <w:rsid w:val="00B175AA"/>
    <w:rsid w:val="00B27FC7"/>
    <w:rsid w:val="00B30BB2"/>
    <w:rsid w:val="00B31404"/>
    <w:rsid w:val="00B332EE"/>
    <w:rsid w:val="00B43849"/>
    <w:rsid w:val="00B46D74"/>
    <w:rsid w:val="00B537AF"/>
    <w:rsid w:val="00B55880"/>
    <w:rsid w:val="00B55AC5"/>
    <w:rsid w:val="00B570E6"/>
    <w:rsid w:val="00B57558"/>
    <w:rsid w:val="00B659CE"/>
    <w:rsid w:val="00B66FC0"/>
    <w:rsid w:val="00B7172A"/>
    <w:rsid w:val="00B73175"/>
    <w:rsid w:val="00B7348B"/>
    <w:rsid w:val="00B75D37"/>
    <w:rsid w:val="00B774FF"/>
    <w:rsid w:val="00B77EBC"/>
    <w:rsid w:val="00B84A8D"/>
    <w:rsid w:val="00B93B67"/>
    <w:rsid w:val="00B940E8"/>
    <w:rsid w:val="00B94C74"/>
    <w:rsid w:val="00BA0132"/>
    <w:rsid w:val="00BA7143"/>
    <w:rsid w:val="00BB0BDD"/>
    <w:rsid w:val="00BB0D0B"/>
    <w:rsid w:val="00BB3EDD"/>
    <w:rsid w:val="00BB6224"/>
    <w:rsid w:val="00BB7A4A"/>
    <w:rsid w:val="00BC0357"/>
    <w:rsid w:val="00BC0A82"/>
    <w:rsid w:val="00BC322E"/>
    <w:rsid w:val="00BC53BD"/>
    <w:rsid w:val="00BC7570"/>
    <w:rsid w:val="00BD1237"/>
    <w:rsid w:val="00BE2AE3"/>
    <w:rsid w:val="00BE47F1"/>
    <w:rsid w:val="00BF3803"/>
    <w:rsid w:val="00BF5E17"/>
    <w:rsid w:val="00C01559"/>
    <w:rsid w:val="00C121B3"/>
    <w:rsid w:val="00C15AFE"/>
    <w:rsid w:val="00C1614B"/>
    <w:rsid w:val="00C162C6"/>
    <w:rsid w:val="00C21C39"/>
    <w:rsid w:val="00C2347A"/>
    <w:rsid w:val="00C26BEA"/>
    <w:rsid w:val="00C26E9D"/>
    <w:rsid w:val="00C30A1F"/>
    <w:rsid w:val="00C356F4"/>
    <w:rsid w:val="00C4183B"/>
    <w:rsid w:val="00C443C3"/>
    <w:rsid w:val="00C45F50"/>
    <w:rsid w:val="00C5411F"/>
    <w:rsid w:val="00C548FE"/>
    <w:rsid w:val="00C54AD3"/>
    <w:rsid w:val="00C5511F"/>
    <w:rsid w:val="00C62095"/>
    <w:rsid w:val="00C6557C"/>
    <w:rsid w:val="00C7023B"/>
    <w:rsid w:val="00C71517"/>
    <w:rsid w:val="00C71C4E"/>
    <w:rsid w:val="00C72649"/>
    <w:rsid w:val="00C771E4"/>
    <w:rsid w:val="00C81A57"/>
    <w:rsid w:val="00C91259"/>
    <w:rsid w:val="00C94CFC"/>
    <w:rsid w:val="00C95801"/>
    <w:rsid w:val="00CA3078"/>
    <w:rsid w:val="00CB6951"/>
    <w:rsid w:val="00CB77C2"/>
    <w:rsid w:val="00CB7F1D"/>
    <w:rsid w:val="00CC06DB"/>
    <w:rsid w:val="00CC14A8"/>
    <w:rsid w:val="00CC7600"/>
    <w:rsid w:val="00CD35DF"/>
    <w:rsid w:val="00CD5282"/>
    <w:rsid w:val="00CD6A63"/>
    <w:rsid w:val="00CE008F"/>
    <w:rsid w:val="00CE0269"/>
    <w:rsid w:val="00CE2AC8"/>
    <w:rsid w:val="00CE3F63"/>
    <w:rsid w:val="00CE7811"/>
    <w:rsid w:val="00CF1B73"/>
    <w:rsid w:val="00D00F5A"/>
    <w:rsid w:val="00D0179F"/>
    <w:rsid w:val="00D06C6E"/>
    <w:rsid w:val="00D1010E"/>
    <w:rsid w:val="00D12315"/>
    <w:rsid w:val="00D12ACD"/>
    <w:rsid w:val="00D1448B"/>
    <w:rsid w:val="00D16E9D"/>
    <w:rsid w:val="00D253D7"/>
    <w:rsid w:val="00D26B84"/>
    <w:rsid w:val="00D305BA"/>
    <w:rsid w:val="00D32FF6"/>
    <w:rsid w:val="00D3385F"/>
    <w:rsid w:val="00D37EE5"/>
    <w:rsid w:val="00D426B1"/>
    <w:rsid w:val="00D42F53"/>
    <w:rsid w:val="00D46097"/>
    <w:rsid w:val="00D53427"/>
    <w:rsid w:val="00D53BFC"/>
    <w:rsid w:val="00D54B6F"/>
    <w:rsid w:val="00D61645"/>
    <w:rsid w:val="00D6488C"/>
    <w:rsid w:val="00D659C2"/>
    <w:rsid w:val="00D66293"/>
    <w:rsid w:val="00D718CB"/>
    <w:rsid w:val="00D72010"/>
    <w:rsid w:val="00D74B9F"/>
    <w:rsid w:val="00D84118"/>
    <w:rsid w:val="00D855E4"/>
    <w:rsid w:val="00D87387"/>
    <w:rsid w:val="00D87B19"/>
    <w:rsid w:val="00D87F98"/>
    <w:rsid w:val="00D9544A"/>
    <w:rsid w:val="00DA0A19"/>
    <w:rsid w:val="00DA4487"/>
    <w:rsid w:val="00DA72C9"/>
    <w:rsid w:val="00DA7CC3"/>
    <w:rsid w:val="00DB209A"/>
    <w:rsid w:val="00DB406B"/>
    <w:rsid w:val="00DB58A4"/>
    <w:rsid w:val="00DC668B"/>
    <w:rsid w:val="00DC75F9"/>
    <w:rsid w:val="00DC7629"/>
    <w:rsid w:val="00DD069E"/>
    <w:rsid w:val="00DD1032"/>
    <w:rsid w:val="00DD191E"/>
    <w:rsid w:val="00DE2773"/>
    <w:rsid w:val="00DE5B1F"/>
    <w:rsid w:val="00DF5E34"/>
    <w:rsid w:val="00E00723"/>
    <w:rsid w:val="00E01CB7"/>
    <w:rsid w:val="00E04A6D"/>
    <w:rsid w:val="00E05BCF"/>
    <w:rsid w:val="00E152ED"/>
    <w:rsid w:val="00E16F53"/>
    <w:rsid w:val="00E17052"/>
    <w:rsid w:val="00E2091E"/>
    <w:rsid w:val="00E21BEF"/>
    <w:rsid w:val="00E23BD0"/>
    <w:rsid w:val="00E25396"/>
    <w:rsid w:val="00E25D62"/>
    <w:rsid w:val="00E27A9C"/>
    <w:rsid w:val="00E33852"/>
    <w:rsid w:val="00E35284"/>
    <w:rsid w:val="00E42DCE"/>
    <w:rsid w:val="00E54CF9"/>
    <w:rsid w:val="00E558B5"/>
    <w:rsid w:val="00E642FE"/>
    <w:rsid w:val="00E67E93"/>
    <w:rsid w:val="00E707B0"/>
    <w:rsid w:val="00E7184B"/>
    <w:rsid w:val="00E775C3"/>
    <w:rsid w:val="00E77C4C"/>
    <w:rsid w:val="00E810DB"/>
    <w:rsid w:val="00E84E3B"/>
    <w:rsid w:val="00E866C2"/>
    <w:rsid w:val="00E9362A"/>
    <w:rsid w:val="00EA0480"/>
    <w:rsid w:val="00EA5637"/>
    <w:rsid w:val="00EB027E"/>
    <w:rsid w:val="00EB0772"/>
    <w:rsid w:val="00EB11FE"/>
    <w:rsid w:val="00EB380F"/>
    <w:rsid w:val="00EB3846"/>
    <w:rsid w:val="00EB39FC"/>
    <w:rsid w:val="00EB50EE"/>
    <w:rsid w:val="00EB7FA1"/>
    <w:rsid w:val="00EC0D5F"/>
    <w:rsid w:val="00EC4161"/>
    <w:rsid w:val="00EC4831"/>
    <w:rsid w:val="00EC6089"/>
    <w:rsid w:val="00ED08AB"/>
    <w:rsid w:val="00ED1BD3"/>
    <w:rsid w:val="00ED405C"/>
    <w:rsid w:val="00EE360D"/>
    <w:rsid w:val="00EE7C81"/>
    <w:rsid w:val="00EF06E1"/>
    <w:rsid w:val="00F02CD7"/>
    <w:rsid w:val="00F06FE9"/>
    <w:rsid w:val="00F10D0F"/>
    <w:rsid w:val="00F15770"/>
    <w:rsid w:val="00F15C4D"/>
    <w:rsid w:val="00F16FEA"/>
    <w:rsid w:val="00F1731E"/>
    <w:rsid w:val="00F23CD6"/>
    <w:rsid w:val="00F256F9"/>
    <w:rsid w:val="00F25D12"/>
    <w:rsid w:val="00F27C57"/>
    <w:rsid w:val="00F348EE"/>
    <w:rsid w:val="00F36FB3"/>
    <w:rsid w:val="00F40182"/>
    <w:rsid w:val="00F4519C"/>
    <w:rsid w:val="00F51106"/>
    <w:rsid w:val="00F51565"/>
    <w:rsid w:val="00F614C3"/>
    <w:rsid w:val="00F6166A"/>
    <w:rsid w:val="00F61AF3"/>
    <w:rsid w:val="00F61B58"/>
    <w:rsid w:val="00F63170"/>
    <w:rsid w:val="00F6345F"/>
    <w:rsid w:val="00F6484F"/>
    <w:rsid w:val="00F70BB6"/>
    <w:rsid w:val="00F7281A"/>
    <w:rsid w:val="00F746A2"/>
    <w:rsid w:val="00F75D8E"/>
    <w:rsid w:val="00F802AA"/>
    <w:rsid w:val="00F8767A"/>
    <w:rsid w:val="00F90EDB"/>
    <w:rsid w:val="00F979FE"/>
    <w:rsid w:val="00FB0E67"/>
    <w:rsid w:val="00FB6D97"/>
    <w:rsid w:val="00FB7807"/>
    <w:rsid w:val="00FC0270"/>
    <w:rsid w:val="00FC15CF"/>
    <w:rsid w:val="00FC7CBD"/>
    <w:rsid w:val="00FC7F38"/>
    <w:rsid w:val="00FD507B"/>
    <w:rsid w:val="00FD63E1"/>
    <w:rsid w:val="00FE4DB1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8E5B2"/>
  <w15:chartTrackingRefBased/>
  <w15:docId w15:val="{EB84CE7C-DBCE-4F8A-B928-BF0DB8C5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E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5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5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25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3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3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39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7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807"/>
  </w:style>
  <w:style w:type="paragraph" w:styleId="Footer">
    <w:name w:val="footer"/>
    <w:basedOn w:val="Normal"/>
    <w:link w:val="FooterChar"/>
    <w:uiPriority w:val="99"/>
    <w:unhideWhenUsed/>
    <w:rsid w:val="00FB7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807"/>
  </w:style>
  <w:style w:type="paragraph" w:customStyle="1" w:styleId="Normal1">
    <w:name w:val="Normal1"/>
    <w:rsid w:val="00FB780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unhideWhenUsed/>
    <w:rsid w:val="00FB7807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946EC"/>
    <w:pPr>
      <w:spacing w:after="0" w:line="240" w:lineRule="auto"/>
    </w:pPr>
  </w:style>
  <w:style w:type="character" w:customStyle="1" w:styleId="docsum-authors">
    <w:name w:val="docsum-authors"/>
    <w:basedOn w:val="DefaultParagraphFont"/>
    <w:rsid w:val="00963611"/>
  </w:style>
  <w:style w:type="character" w:customStyle="1" w:styleId="docsum-journal-citation">
    <w:name w:val="docsum-journal-citation"/>
    <w:basedOn w:val="DefaultParagraphFont"/>
    <w:rsid w:val="00963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edu.blood.ca/en/transfusion/publications/faq-solvent-detergent-sd-treated-plasma-octaplasm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fessionaleducation.blood.c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fedu.blood.ca/en/transfusion/publications/faq-solvent-detergent-sd-treated-plasma-octaplasm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adth.ca/sites/default/files/pdf/SDPlasma_econo&#8208;analysis_e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dth.ca/media/pdf/SDPlasma_rec&#8208;report_e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6CDDC-81BF-44DF-B02A-13946251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2964</Words>
  <Characters>16899</Characters>
  <Application>Microsoft Office Word</Application>
  <DocSecurity>4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19824</CharactersWithSpaces>
  <SharedDoc>false</SharedDoc>
  <HLinks>
    <vt:vector size="18" baseType="variant">
      <vt:variant>
        <vt:i4>6553657</vt:i4>
      </vt:variant>
      <vt:variant>
        <vt:i4>6</vt:i4>
      </vt:variant>
      <vt:variant>
        <vt:i4>0</vt:i4>
      </vt:variant>
      <vt:variant>
        <vt:i4>5</vt:i4>
      </vt:variant>
      <vt:variant>
        <vt:lpwstr>https://profedu.blood.ca/en/transfusion/publications/faq-solvent-detergent-sd-treated-plasma-octaplasma</vt:lpwstr>
      </vt:variant>
      <vt:variant>
        <vt:lpwstr/>
      </vt:variant>
      <vt:variant>
        <vt:i4>540409877</vt:i4>
      </vt:variant>
      <vt:variant>
        <vt:i4>3</vt:i4>
      </vt:variant>
      <vt:variant>
        <vt:i4>0</vt:i4>
      </vt:variant>
      <vt:variant>
        <vt:i4>5</vt:i4>
      </vt:variant>
      <vt:variant>
        <vt:lpwstr>https://www.cadth.ca/sites/default/files/pdf/SDPlasma_econo‐analysis_e.pdf</vt:lpwstr>
      </vt:variant>
      <vt:variant>
        <vt:lpwstr/>
      </vt:variant>
      <vt:variant>
        <vt:i4>6553657</vt:i4>
      </vt:variant>
      <vt:variant>
        <vt:i4>0</vt:i4>
      </vt:variant>
      <vt:variant>
        <vt:i4>0</vt:i4>
      </vt:variant>
      <vt:variant>
        <vt:i4>5</vt:i4>
      </vt:variant>
      <vt:variant>
        <vt:lpwstr>https://profedu.blood.ca/en/transfusion/publications/faq-solvent-detergent-sd-treated-plasma-octaplasma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Tinmouth</dc:creator>
  <cp:keywords/>
  <dc:description/>
  <cp:lastModifiedBy>Alan Tinmouth</cp:lastModifiedBy>
  <cp:revision>2</cp:revision>
  <dcterms:created xsi:type="dcterms:W3CDTF">2023-03-13T12:24:00Z</dcterms:created>
  <dcterms:modified xsi:type="dcterms:W3CDTF">2023-03-13T12:24:00Z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2023-02-21T16:14:30Z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e9baef33-85a2-460c-90e0-1fd327919d14</vt:lpwstr>
  </property>
  <property fmtid="{D5CDD505-2E9C-101B-9397-08002B2CF9AE}" pid="8" name="MSIP_Label_034a106e-6316-442c-ad35-738afd673d2b_ContentBits">
    <vt:lpwstr>0</vt:lpwstr>
  </property>
</Properties>
</file>